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个人申领求职创业补贴网办操作指南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省一体化信息平台上线后，申领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求职创业补贴可以登录</w:t>
      </w:r>
      <w:r>
        <w:rPr>
          <w:rFonts w:hint="eastAsia" w:ascii="仿宋" w:hAnsi="仿宋" w:eastAsia="仿宋" w:cs="仿宋"/>
          <w:sz w:val="32"/>
          <w:szCs w:val="32"/>
        </w:rPr>
        <w:t>江苏省人社厅网上办事服务大厅进行办理。</w:t>
      </w:r>
    </w:p>
    <w:p>
      <w:pPr>
        <w:widowControl/>
        <w:spacing w:line="420" w:lineRule="atLeas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auto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</w:rPr>
        <w:t>1．选择江苏省人力资源和社会保障厅网上办事服务大厅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</w:rPr>
        <w:t>（https://rs.jshrss.jiangsu.gov.cn/index/）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28"/>
          <w:szCs w:val="28"/>
        </w:rPr>
        <w:t>。</w:t>
      </w:r>
    </w:p>
    <w:p>
      <w:pPr>
        <w:widowControl/>
        <w:spacing w:line="420" w:lineRule="atLeast"/>
        <w:ind w:firstLine="560" w:firstLineChars="200"/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</w:rPr>
        <w:t>2．登录。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0500" cy="4415155"/>
            <wp:effectExtent l="0" t="0" r="6350" b="444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b/>
          <w:bCs/>
          <w:kern w:val="0"/>
          <w:sz w:val="27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b/>
          <w:bCs/>
          <w:kern w:val="0"/>
          <w:sz w:val="27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b/>
          <w:bCs/>
          <w:kern w:val="0"/>
          <w:sz w:val="27"/>
        </w:rPr>
      </w:pP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b/>
          <w:bCs/>
          <w:kern w:val="0"/>
          <w:sz w:val="27"/>
        </w:rPr>
      </w:pPr>
    </w:p>
    <w:p>
      <w:pPr>
        <w:widowControl/>
        <w:spacing w:line="420" w:lineRule="atLeast"/>
        <w:ind w:firstLine="560" w:firstLineChars="200"/>
        <w:jc w:val="left"/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</w:rPr>
        <w:t>3．登录后，进入“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  <w:lang w:val="en-US" w:eastAsia="zh-CN"/>
        </w:rPr>
        <w:t>个人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</w:rPr>
        <w:t>办事”界面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  <w:lang w:val="en-US" w:eastAsia="zh-CN"/>
        </w:rPr>
        <w:t>点击“就业创业”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</w:rPr>
        <w:t>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64785" cy="2346960"/>
            <wp:effectExtent l="0" t="0" r="12065" b="1524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ind w:firstLine="560" w:firstLineChars="200"/>
        <w:jc w:val="left"/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</w:rPr>
        <w:t>4．选择“就业补贴”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  <w:lang w:val="en-US" w:eastAsia="zh-CN"/>
        </w:rPr>
        <w:t>下“求职创业补贴个人申报”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8"/>
          <w:szCs w:val="28"/>
        </w:rPr>
        <w:t>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59070" cy="2004695"/>
            <wp:effectExtent l="0" t="0" r="17780" b="1460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540" w:firstLineChars="200"/>
        <w:jc w:val="left"/>
        <w:rPr>
          <w:rFonts w:hint="eastAsia" w:ascii="宋体" w:hAnsi="宋体" w:eastAsia="方正楷体_GBK" w:cs="宋体"/>
          <w:kern w:val="0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．在补贴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个人申报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界面，系统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会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自动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比对学信网相关数据，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带“*”号为必填项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将申请相关信息填写完整，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阅读个人承诺内容，勾选“我已阅读并了解以上内容 ”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eastAsia="zh-CN"/>
        </w:rPr>
        <w:t>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b/>
          <w:bCs/>
          <w:kern w:val="0"/>
          <w:sz w:val="27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b/>
          <w:bCs/>
          <w:kern w:val="0"/>
          <w:sz w:val="27"/>
        </w:rPr>
      </w:pP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kern w:val="0"/>
          <w:sz w:val="27"/>
        </w:rPr>
      </w:pPr>
      <w:r>
        <w:drawing>
          <wp:inline distT="0" distB="0" distL="114300" distR="114300">
            <wp:extent cx="5268595" cy="5303520"/>
            <wp:effectExtent l="0" t="0" r="8255" b="1143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ind w:firstLine="540" w:firstLineChars="200"/>
        <w:jc w:val="left"/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6．点击“材料列表”，其中困难证明材料为必传项。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69865" cy="3337560"/>
            <wp:effectExtent l="0" t="0" r="6985" b="15240"/>
            <wp:docPr id="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540" w:firstLineChars="200"/>
        <w:jc w:val="left"/>
        <w:rPr>
          <w:rFonts w:hint="eastAsia" w:ascii="方正楷体_GBK" w:hAnsi="方正楷体_GBK" w:eastAsia="方正楷体_GBK" w:cs="方正楷体_GBK"/>
          <w:kern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．材料上传完成后，点击“确认提交”。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1770" cy="4321810"/>
            <wp:effectExtent l="0" t="0" r="5080" b="2540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540" w:firstLineChars="200"/>
        <w:jc w:val="left"/>
        <w:rPr>
          <w:rFonts w:hint="eastAsia" w:ascii="方正楷体_GBK" w:hAnsi="方正楷体_GBK" w:eastAsia="方正楷体_GBK" w:cs="方正楷体_GBK"/>
          <w:kern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8.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确认提交成功后，点击“确定”可打印补贴申请表。</w:t>
      </w:r>
    </w:p>
    <w:p>
      <w:pPr>
        <w:widowControl/>
        <w:jc w:val="center"/>
        <w:rPr>
          <w:rFonts w:hint="eastAsia" w:ascii="方正楷体_GBK" w:hAnsi="方正楷体_GBK" w:eastAsia="方正楷体_GBK" w:cs="方正楷体_GBK"/>
          <w:kern w:val="0"/>
          <w:sz w:val="24"/>
          <w:szCs w:val="24"/>
        </w:rPr>
      </w:pPr>
      <w:r>
        <w:drawing>
          <wp:inline distT="0" distB="0" distL="114300" distR="114300">
            <wp:extent cx="5269865" cy="279971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40" w:firstLineChars="200"/>
        <w:jc w:val="left"/>
        <w:rPr>
          <w:rFonts w:hint="eastAsia" w:ascii="方正楷体_GBK" w:hAnsi="方正楷体_GBK" w:eastAsia="方正楷体_GBK" w:cs="方正楷体_GBK"/>
          <w:kern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9.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如需查询业务进度，可进入“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个人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中心”。</w:t>
      </w:r>
    </w:p>
    <w:p>
      <w:pPr>
        <w:widowControl/>
        <w:jc w:val="center"/>
        <w:rPr>
          <w:rFonts w:hint="eastAsia" w:ascii="方正楷体_GBK" w:hAnsi="方正楷体_GBK" w:eastAsia="方正楷体_GBK" w:cs="方正楷体_GBK"/>
          <w:kern w:val="0"/>
          <w:sz w:val="24"/>
          <w:szCs w:val="24"/>
        </w:rPr>
      </w:pPr>
      <w:r>
        <w:drawing>
          <wp:inline distT="0" distB="0" distL="114300" distR="114300">
            <wp:extent cx="5270500" cy="237426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40" w:firstLineChars="200"/>
        <w:jc w:val="left"/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1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  <w:lang w:val="en-US" w:eastAsia="zh-CN"/>
        </w:rPr>
        <w:t>0.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  <w:t>点击查看“办理中”和“已办结”的业务信息。</w:t>
      </w:r>
    </w:p>
    <w:p>
      <w:pPr>
        <w:widowControl/>
        <w:ind w:firstLine="420" w:firstLineChars="200"/>
        <w:jc w:val="left"/>
        <w:rPr>
          <w:rFonts w:hint="eastAsia" w:ascii="方正楷体_GBK" w:hAnsi="方正楷体_GBK" w:eastAsia="方正楷体_GBK" w:cs="方正楷体_GBK"/>
          <w:b/>
          <w:bCs/>
          <w:kern w:val="0"/>
          <w:sz w:val="27"/>
        </w:rPr>
      </w:pPr>
      <w:r>
        <w:drawing>
          <wp:inline distT="0" distB="0" distL="114300" distR="114300">
            <wp:extent cx="5262880" cy="1366520"/>
            <wp:effectExtent l="0" t="0" r="1397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hNzkyN2Q2OTY5ZmYwNTQ2ZmQxNTk3YzI3OGY3MTYifQ=="/>
  </w:docVars>
  <w:rsids>
    <w:rsidRoot w:val="006D698D"/>
    <w:rsid w:val="00033629"/>
    <w:rsid w:val="00066C09"/>
    <w:rsid w:val="00236A9A"/>
    <w:rsid w:val="00342AA1"/>
    <w:rsid w:val="006D698D"/>
    <w:rsid w:val="008B4546"/>
    <w:rsid w:val="0099380D"/>
    <w:rsid w:val="009F6EE6"/>
    <w:rsid w:val="00A10F4D"/>
    <w:rsid w:val="00C912E2"/>
    <w:rsid w:val="17E10055"/>
    <w:rsid w:val="21046C2A"/>
    <w:rsid w:val="28BF7E0B"/>
    <w:rsid w:val="5A8D73D8"/>
    <w:rsid w:val="65B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326</Words>
  <Characters>368</Characters>
  <Lines>4</Lines>
  <Paragraphs>1</Paragraphs>
  <TotalTime>3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2021-05-09T02:23:00Z</dcterms:created>
  <dc:creator>hp</dc:creator>
  <cp:lastModifiedBy>姚蓓-缘来你就在这里</cp:lastModifiedBy>
  <dcterms:modified xsi:type="dcterms:W3CDTF">2024-08-29T02:12:57Z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AC946F7690124B42A0F63D68626E8C4F</vt:lpwstr>
  </property>
  <property fmtid="{D5CDD505-2E9C-101B-9397-08002B2CF9AE}" pid="4" name="KSOSaveFontToCloudKey">
    <vt:lpwstr>444082335_cloud</vt:lpwstr>
  </property>
</Properties>
</file>