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856F" w14:textId="12B0729F" w:rsidR="005F5A4F" w:rsidRPr="005F5A4F" w:rsidRDefault="005F5A4F" w:rsidP="005F5A4F">
      <w:pPr>
        <w:widowControl/>
        <w:shd w:val="clear" w:color="auto" w:fill="FFFFFF"/>
        <w:spacing w:line="900" w:lineRule="atLeast"/>
        <w:jc w:val="center"/>
        <w:rPr>
          <w:rFonts w:ascii="微软雅黑" w:eastAsia="微软雅黑" w:hAnsi="微软雅黑" w:cs="宋体"/>
          <w:color w:val="000000"/>
          <w:kern w:val="0"/>
          <w:sz w:val="38"/>
          <w:szCs w:val="38"/>
        </w:rPr>
      </w:pPr>
      <w:r w:rsidRPr="005F5A4F">
        <w:rPr>
          <w:rFonts w:ascii="微软雅黑" w:eastAsia="微软雅黑" w:hAnsi="微软雅黑" w:cs="宋体" w:hint="eastAsia"/>
          <w:color w:val="000000"/>
          <w:kern w:val="0"/>
          <w:sz w:val="38"/>
          <w:szCs w:val="38"/>
        </w:rPr>
        <w:t>省教育厅关于深入推进全省高等学校</w:t>
      </w:r>
      <w:proofErr w:type="gramStart"/>
      <w:r w:rsidRPr="005F5A4F">
        <w:rPr>
          <w:rFonts w:ascii="微软雅黑" w:eastAsia="微软雅黑" w:hAnsi="微软雅黑" w:cs="宋体" w:hint="eastAsia"/>
          <w:color w:val="000000"/>
          <w:kern w:val="0"/>
          <w:sz w:val="38"/>
          <w:szCs w:val="38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000000"/>
          <w:kern w:val="0"/>
          <w:sz w:val="38"/>
          <w:szCs w:val="38"/>
        </w:rPr>
        <w:t>的实施意见</w:t>
      </w:r>
    </w:p>
    <w:p w14:paraId="5DD0DB19" w14:textId="77777777" w:rsidR="005F5A4F" w:rsidRPr="005F5A4F" w:rsidRDefault="005F5A4F" w:rsidP="005F5A4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kern w:val="0"/>
          <w:sz w:val="23"/>
          <w:szCs w:val="23"/>
        </w:rPr>
        <w:t>发布日期：2020-07-09 18:32 来源：高等教育处 浏览次数： 6363次 字体：[</w:t>
      </w:r>
      <w:hyperlink r:id="rId6" w:history="1">
        <w:r w:rsidRPr="005F5A4F">
          <w:rPr>
            <w:rFonts w:ascii="微软雅黑" w:eastAsia="微软雅黑" w:hAnsi="微软雅黑" w:cs="宋体" w:hint="eastAsia"/>
            <w:color w:val="333333"/>
            <w:kern w:val="0"/>
            <w:sz w:val="23"/>
            <w:szCs w:val="23"/>
            <w:u w:val="single"/>
          </w:rPr>
          <w:t>大</w:t>
        </w:r>
      </w:hyperlink>
      <w:r w:rsidRPr="005F5A4F">
        <w:rPr>
          <w:rFonts w:ascii="微软雅黑" w:eastAsia="微软雅黑" w:hAnsi="微软雅黑" w:cs="宋体" w:hint="eastAsia"/>
          <w:kern w:val="0"/>
          <w:sz w:val="23"/>
          <w:szCs w:val="23"/>
        </w:rPr>
        <w:t> </w:t>
      </w:r>
      <w:hyperlink r:id="rId7" w:history="1">
        <w:r w:rsidRPr="005F5A4F">
          <w:rPr>
            <w:rFonts w:ascii="微软雅黑" w:eastAsia="微软雅黑" w:hAnsi="微软雅黑" w:cs="宋体" w:hint="eastAsia"/>
            <w:color w:val="333333"/>
            <w:kern w:val="0"/>
            <w:sz w:val="23"/>
            <w:szCs w:val="23"/>
            <w:u w:val="single"/>
          </w:rPr>
          <w:t>中</w:t>
        </w:r>
      </w:hyperlink>
      <w:r w:rsidRPr="005F5A4F">
        <w:rPr>
          <w:rFonts w:ascii="微软雅黑" w:eastAsia="微软雅黑" w:hAnsi="微软雅黑" w:cs="宋体" w:hint="eastAsia"/>
          <w:kern w:val="0"/>
          <w:sz w:val="23"/>
          <w:szCs w:val="23"/>
        </w:rPr>
        <w:t> </w:t>
      </w:r>
      <w:hyperlink r:id="rId8" w:history="1">
        <w:r w:rsidRPr="005F5A4F">
          <w:rPr>
            <w:rFonts w:ascii="微软雅黑" w:eastAsia="微软雅黑" w:hAnsi="微软雅黑" w:cs="宋体" w:hint="eastAsia"/>
            <w:color w:val="333333"/>
            <w:kern w:val="0"/>
            <w:sz w:val="23"/>
            <w:szCs w:val="23"/>
            <w:u w:val="single"/>
          </w:rPr>
          <w:t>小</w:t>
        </w:r>
      </w:hyperlink>
      <w:r w:rsidRPr="005F5A4F">
        <w:rPr>
          <w:rFonts w:ascii="微软雅黑" w:eastAsia="微软雅黑" w:hAnsi="微软雅黑" w:cs="宋体" w:hint="eastAsia"/>
          <w:kern w:val="0"/>
          <w:sz w:val="23"/>
          <w:szCs w:val="23"/>
        </w:rPr>
        <w:t>]</w:t>
      </w:r>
    </w:p>
    <w:p w14:paraId="30723DE0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苏教高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〔2020〕3号</w:t>
      </w:r>
    </w:p>
    <w:p w14:paraId="29BC9484" w14:textId="77777777" w:rsidR="005F5A4F" w:rsidRPr="005F5A4F" w:rsidRDefault="005F5A4F" w:rsidP="005F5A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各高等学校：</w:t>
      </w:r>
    </w:p>
    <w:p w14:paraId="429A5323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为贯彻落实教育部《高等学校课程思政建设指导纲要》（以下简称《纲要》）精神，深入推进全省高校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，有效发挥各类课程育人作用，切实提高人才培养质量，提出如下实施意见。</w:t>
      </w:r>
    </w:p>
    <w:p w14:paraId="35742E9F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一、指导思想</w:t>
      </w:r>
    </w:p>
    <w:p w14:paraId="452D597C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以习近平新时代中国特色社会主义思想为指导，全面贯彻党的教育方针，坚持和加强党的全面领导，坚持社会主义办学方向，落实立德树人根本任务，深入推进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，发挥教师队伍“主力军”、课程建设“主战场”、课堂教学“主渠道”作用，使思想政治教育贯穿人才培养全过程，促进各类课程与思想政治理论课程同向同行，构建全员全程全方位育人大格局。</w:t>
      </w:r>
    </w:p>
    <w:p w14:paraId="77CECE13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二、总体目标</w:t>
      </w:r>
    </w:p>
    <w:p w14:paraId="53C49B8C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通过在全省高校所有学科专业中构建全面覆盖、类型丰富、层次递进、相互支撑的课程思政体系，促使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课程思政的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理念形成广泛共识，广大教师坚守教书育人的主业、开展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的意识和能力全面提升，协同推进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的体制机制更加健全，高校立德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树人成效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进一步提高，形成“校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校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有精品、门门有思政、课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有特色、人人重育人”的良好局面。</w:t>
      </w:r>
    </w:p>
    <w:p w14:paraId="38903263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>三、基本原则</w:t>
      </w:r>
    </w:p>
    <w:p w14:paraId="0EE9C25B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坚持知识传授和价值引领相统一。树立知识传授和价值引领并重的教育理念，以专业发展为出发点实现知识传授和价值引领协同发展，以人才培养为根本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点促进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知识传授与价值引领同频共振，将价值引领寓于知识传授、能力培养之中，引导学生树立正确的世界观、人生观、价值观，有效实现专业教育与思想政治教育的有机融合。</w:t>
      </w:r>
    </w:p>
    <w:p w14:paraId="38D1CDFD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坚持显性教育和隐性教育相统一。在旗帜鲜明、理直气壮建好思想政治理论课的同时，积极挖掘各类课程中蕴含的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思政教育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元素，用好显性教育和隐性教育渠道，寻找专业学科知识体系与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思政知识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体系的接触点，探究专业知识教育与价值教育的融合点，创新课程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思政教育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教学方式，达到学生喜闻乐见和讲解深入浅出的效果。</w:t>
      </w:r>
    </w:p>
    <w:p w14:paraId="63D82DD6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坚持统筹协调和分类指导相统一。落实高校主体责任，统筹各类资源，做好顶层设计，建立包括工作体系、教学体系、内容体系和评价体系在内的一整套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课程思政育人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新体系。结合不同类型高校、不同学科专业、不同类别课程的属性特点，加强分类指导，明确育人目标，强化教师培训，不断提高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水平。</w:t>
      </w:r>
    </w:p>
    <w:p w14:paraId="77635D28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四、实施方案</w:t>
      </w:r>
    </w:p>
    <w:p w14:paraId="39F9AF62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落实高校课程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思政主体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责任，科学规划与设计课程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思政教学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体系，推进学校、专业、课程三级课程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思政教学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改革与建设，全面提高立德树人成效。</w:t>
      </w:r>
    </w:p>
    <w:p w14:paraId="3ACA1326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（一）强化立德树人，落实课程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思政主体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责任。学校党政主要领导为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第一责任人。学校层面要结合学校发展定位和人才培养目标，设立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与教学管理机构，统筹制定全校课程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思政实施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方案。院系、专业层面要结合专业人才培养特色，加强师德师风建设，推动全体教师尤其是高水平教师参与课程思政</w:t>
      </w: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>工作，统筹推进专业基础课和专业主干课的课程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思政教学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改革。任课教师层面要进一步强化思想认识，深入挖掘课程内容和教学方式中蕴含的思想政治教育资源，探索和创新课程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思政教育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方法，不断提升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课程思政能力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。</w:t>
      </w:r>
    </w:p>
    <w:p w14:paraId="754D7CC2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（二）强化全面覆盖，设计课程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思政教学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体系。全省高校要在公共基础课程、专业教育课程、实践类课程等各类课程、教材中落实课程思政要求。其中，公共基础课程要聚焦提高学生思想道德修养、人文素质、科学精神、法治意识、国家安全意识和认知能力，打造一批有特色的体育、美育类课程，帮助学生增强体质，提升审美素养；专业教育课程要体现课程广度、深度和温度，集历史与现实、本土化与国际化、知识性与人文性于一体，与弘扬真善美结合，富有学科特色、彰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显专业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优势；实践教育类课程要注重学思结合、知行统一，增强学生创新精神、创造意识、创业能力以及弘扬劳动精神。高等职业院校要注重设计劳动教育环节和职业精神教育环节，引导学生培养工匠精神。</w:t>
      </w:r>
    </w:p>
    <w:p w14:paraId="38B80428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（三）强化分类指导，推进专业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。根据学科专业特点，深入挖掘专业课程所蕴含的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课程思政元素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，明确不同专业课程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的思政目标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，使专业课教师能在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中找到自己的“角色”、干出自己的“特色”。全省高校对照《纲要》中的文学、历史学、哲学类，经济学、管理学、法学类，教育学类，理学、工学类，农学类，医学类和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艺术学类等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不同学科门类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要求，进一步细化课程目标。高等职业院校结合高职专业分类和课程设置情况，设置差异化的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课程思政目标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，挖掘培育以工匠精神为核心的德育元素，将社会责任、爱岗敬业、团队协作、身心健康、诚实守信、精益求精、劳动竞技、文化传承、创新创造等元素和典型案例贯穿到课程体系的设计与执行中，落实好分类推进相关要求。</w:t>
      </w:r>
    </w:p>
    <w:p w14:paraId="068438BE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>（四）强化育人能力，提升教师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课程思政素养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。依托江苏省高等学校教学管理研究会、江苏省高校师资培训中心、江苏省高等职业教育教师培训中心、江苏省高校在线开放课程中心、江苏省高校“金课”工作坊等平台，分区域、分学科专业领域开展经常性的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思政典型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经验交流、现场教学观摩、教师教学培训等活动，有计划、分批次对全省教师开展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专题培训，加强教师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课程思政育人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能力建设。各高校应开展课程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思政教学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名师、教学团队培育工作，举办课程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思政专项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讲课竞赛或教学设计大赛，将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课程思政纳入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教师岗前培训、在岗培训和师德师风、教学能力专题培训等活动中，充分发挥教研室、教学团队、课程组等基层教学组织作用，建立课程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思政集体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教研制度。鼓励支持国家级和省级高层次人才开展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。</w:t>
      </w:r>
    </w:p>
    <w:p w14:paraId="19818C12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（五）强化改革创新，深化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研究。鼓励和支持广大教师开展多种形式的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课程思政研究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与实践，逐步构建多层次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研究体系。建设一批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课程思政研究中心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。课题研究和实践要聚焦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中的热点、重点和难点，着力解决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中的基础性、关键性、前瞻性问题。在江苏省高校哲学社会科学研究项目中设立课程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思政重大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专项课题，在江苏省高等教育教改研究立项课题中优先支持课程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思政类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研究选题。鼓励高校开展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课程思政专题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研究，加大对高水平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课程思政研究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与实践成果的推广应用，总结汇编课程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思政优秀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教学案例，进一步扩大江苏高校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影响力。</w:t>
      </w:r>
    </w:p>
    <w:p w14:paraId="19E7471D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五、保障措施</w:t>
      </w:r>
    </w:p>
    <w:p w14:paraId="589FDC54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（一）加强组织领导。各高校要建立党委统一领导、党政齐抓共管、教务部门牵头抓总、相关部门联动、院系落实推进、自身特色鲜明的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工作新格局。组织成立江苏省高校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专家咨询委员会，统筹研究重大政策，指导</w:t>
      </w: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lastRenderedPageBreak/>
        <w:t>高校开展课程思政工作。委托江苏省高等学校教学管理研究会成立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工作专门委员会，搭建全省高校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研究与交流平台。</w:t>
      </w:r>
    </w:p>
    <w:p w14:paraId="07D47695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（二）落实经费保障。省教育厅加强政策协调配套，统筹地方财政高等教育资金和中央支持地方高校改革发展资金，支持高校推进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。中央部门所属高校要统筹利用中央高校教育教学改革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专项等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中央高校预算拨款和其他各类资源，结合学校实际，支持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工作。地方高校要根据自身建设计划，统筹各类资源，加大对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的投入力度。</w:t>
      </w:r>
    </w:p>
    <w:p w14:paraId="7CD5F377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（三）强化考核评价。建立健全多维度的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成效评价体系和监督检查、激励约束机制，发布《江苏省课程思政示范高校建设指标（试行）》《江苏省课程思政示范专业建设指标（试行）》和《江苏省课程思政示范课程建设指标（试行）》（见附件），适时开展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专项督查。把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课程思政建设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成效作为“双一流”建设和江苏高水平大学建设监测与成效评价、学科评估、本科教学评估、专业认证、专业综合评价、“双高计划”评价、“双万计划”评价、高校或院系教学绩效考核、教学成果奖、教材奖评审推荐等的重要内容。</w:t>
      </w:r>
    </w:p>
    <w:p w14:paraId="36EA050E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附件：</w:t>
      </w:r>
      <w:hyperlink r:id="rId9" w:history="1">
        <w:r w:rsidRPr="005F5A4F">
          <w:rPr>
            <w:rFonts w:ascii="微软雅黑" w:eastAsia="微软雅黑" w:hAnsi="微软雅黑" w:cs="宋体"/>
            <w:noProof/>
            <w:color w:val="333333"/>
            <w:kern w:val="0"/>
            <w:sz w:val="23"/>
            <w:szCs w:val="23"/>
          </w:rPr>
          <w:drawing>
            <wp:inline distT="0" distB="0" distL="0" distR="0" wp14:anchorId="409111CD" wp14:editId="1864C3CF">
              <wp:extent cx="152400" cy="152400"/>
              <wp:effectExtent l="0" t="0" r="0" b="0"/>
              <wp:docPr id="1" name="图片 1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F5A4F">
          <w:rPr>
            <w:rFonts w:ascii="微软雅黑" w:eastAsia="微软雅黑" w:hAnsi="微软雅黑" w:cs="宋体" w:hint="eastAsia"/>
            <w:color w:val="333333"/>
            <w:kern w:val="0"/>
            <w:sz w:val="23"/>
            <w:szCs w:val="23"/>
            <w:u w:val="single"/>
          </w:rPr>
          <w:t>附件1-3.docx</w:t>
        </w:r>
      </w:hyperlink>
    </w:p>
    <w:p w14:paraId="4AD0C86C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　1. 江苏省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课程思政示范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高校建设指标（试行）</w:t>
      </w:r>
    </w:p>
    <w:p w14:paraId="46A5A503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　2. 江苏省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课程思政示范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专业建设指标（试行）</w:t>
      </w:r>
    </w:p>
    <w:p w14:paraId="5BB82C65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　　　3. 江苏省</w:t>
      </w:r>
      <w:proofErr w:type="gramStart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课程思政示范</w:t>
      </w:r>
      <w:proofErr w:type="gramEnd"/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课程建设指标（试行）</w:t>
      </w:r>
    </w:p>
    <w:p w14:paraId="438C0365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江苏省教育厅 </w:t>
      </w:r>
    </w:p>
    <w:p w14:paraId="6D6B1853" w14:textId="77777777" w:rsidR="005F5A4F" w:rsidRPr="005F5A4F" w:rsidRDefault="005F5A4F" w:rsidP="005F5A4F">
      <w:pPr>
        <w:widowControl/>
        <w:shd w:val="clear" w:color="auto" w:fill="FFFFFF"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5F5A4F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2020年7月7日</w:t>
      </w:r>
    </w:p>
    <w:p w14:paraId="7C5181E0" w14:textId="77777777" w:rsidR="005018D0" w:rsidRDefault="005018D0"/>
    <w:sectPr w:rsidR="00501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45FB" w14:textId="77777777" w:rsidR="00BE0C58" w:rsidRDefault="00BE0C58" w:rsidP="005F5A4F">
      <w:r>
        <w:separator/>
      </w:r>
    </w:p>
  </w:endnote>
  <w:endnote w:type="continuationSeparator" w:id="0">
    <w:p w14:paraId="4AF31CBF" w14:textId="77777777" w:rsidR="00BE0C58" w:rsidRDefault="00BE0C58" w:rsidP="005F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D92F" w14:textId="77777777" w:rsidR="00BE0C58" w:rsidRDefault="00BE0C58" w:rsidP="005F5A4F">
      <w:r>
        <w:separator/>
      </w:r>
    </w:p>
  </w:footnote>
  <w:footnote w:type="continuationSeparator" w:id="0">
    <w:p w14:paraId="173C3083" w14:textId="77777777" w:rsidR="00BE0C58" w:rsidRDefault="00BE0C58" w:rsidP="005F5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22"/>
    <w:rsid w:val="005018D0"/>
    <w:rsid w:val="005F5A4F"/>
    <w:rsid w:val="00BD26DB"/>
    <w:rsid w:val="00BE0C58"/>
    <w:rsid w:val="00E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08738"/>
  <w15:chartTrackingRefBased/>
  <w15:docId w15:val="{5E0181A4-4BC5-46CD-9983-23D8841F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5A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5A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5A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717171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oZoom(13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doZoom(15)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7)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https://jyt.jiangsu.gov.cn/module/download/downfile.jsp?classid=0&amp;filename=5cb3a92ee58949998d60e2fa3dd54510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2024-10-25T02:04:00Z</cp:lastPrinted>
  <dcterms:created xsi:type="dcterms:W3CDTF">2024-10-25T02:03:00Z</dcterms:created>
  <dcterms:modified xsi:type="dcterms:W3CDTF">2024-10-25T02:04:00Z</dcterms:modified>
</cp:coreProperties>
</file>