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897F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宋体" w:hAnsi="宋体" w:eastAsia="宋体" w:cs="宋体"/>
          <w:b w:val="0"/>
          <w:bCs/>
          <w:color w:val="000000" w:themeColor="text1"/>
          <w:sz w:val="28"/>
          <w:szCs w:val="28"/>
          <w14:textFill>
            <w14:solidFill>
              <w14:schemeClr w14:val="tx1"/>
            </w14:solidFill>
          </w14:textFill>
        </w:rPr>
      </w:pPr>
      <w:bookmarkStart w:id="0" w:name="_Toc12449"/>
      <w:bookmarkStart w:id="1" w:name="_Toc373930320"/>
      <w:r>
        <w:rPr>
          <w:rFonts w:hint="eastAsia" w:ascii="宋体" w:hAnsi="宋体" w:eastAsia="宋体" w:cs="宋体"/>
          <w:b w:val="0"/>
          <w:bCs/>
          <w:color w:val="000000" w:themeColor="text1"/>
          <w:sz w:val="28"/>
          <w:szCs w:val="28"/>
          <w14:textFill>
            <w14:solidFill>
              <w14:schemeClr w14:val="tx1"/>
            </w14:solidFill>
          </w14:textFill>
        </w:rPr>
        <w:t>南通大学杏林学院</w:t>
      </w:r>
      <w:bookmarkEnd w:id="0"/>
    </w:p>
    <w:p w14:paraId="43FAC04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宋体" w:hAnsi="宋体" w:eastAsia="宋体" w:cs="宋体"/>
          <w:b w:val="0"/>
          <w:bCs/>
          <w:color w:val="000000" w:themeColor="text1"/>
          <w:sz w:val="28"/>
          <w:szCs w:val="28"/>
          <w14:textFill>
            <w14:solidFill>
              <w14:schemeClr w14:val="tx1"/>
            </w14:solidFill>
          </w14:textFill>
        </w:rPr>
      </w:pPr>
      <w:bookmarkStart w:id="2" w:name="_Toc21352"/>
      <w:r>
        <w:rPr>
          <w:rFonts w:hint="eastAsia" w:ascii="宋体" w:hAnsi="宋体" w:eastAsia="宋体" w:cs="宋体"/>
          <w:b w:val="0"/>
          <w:bCs/>
          <w:color w:val="000000" w:themeColor="text1"/>
          <w:sz w:val="28"/>
          <w:szCs w:val="28"/>
          <w14:textFill>
            <w14:solidFill>
              <w14:schemeClr w14:val="tx1"/>
            </w14:solidFill>
          </w14:textFill>
        </w:rPr>
        <w:t>关于修订</w:t>
      </w:r>
      <w:r>
        <w:rPr>
          <w:rFonts w:hint="eastAsia" w:ascii="宋体" w:hAnsi="宋体" w:eastAsia="宋体" w:cs="宋体"/>
          <w:b w:val="0"/>
          <w:bCs/>
          <w:color w:val="000000" w:themeColor="text1"/>
          <w:sz w:val="28"/>
          <w:szCs w:val="28"/>
          <w:lang w:val="en-US" w:eastAsia="zh-CN"/>
          <w14:textFill>
            <w14:solidFill>
              <w14:schemeClr w14:val="tx1"/>
            </w14:solidFill>
          </w14:textFill>
        </w:rPr>
        <w:t>2025级</w:t>
      </w:r>
      <w:r>
        <w:rPr>
          <w:rFonts w:hint="eastAsia" w:ascii="宋体" w:hAnsi="宋体" w:eastAsia="宋体" w:cs="宋体"/>
          <w:b w:val="0"/>
          <w:bCs/>
          <w:color w:val="000000" w:themeColor="text1"/>
          <w:sz w:val="28"/>
          <w:szCs w:val="28"/>
          <w14:textFill>
            <w14:solidFill>
              <w14:schemeClr w14:val="tx1"/>
            </w14:solidFill>
          </w14:textFill>
        </w:rPr>
        <w:t>本科人才培养方案的指导意见</w:t>
      </w:r>
      <w:bookmarkEnd w:id="1"/>
      <w:bookmarkEnd w:id="2"/>
    </w:p>
    <w:p w14:paraId="1C08CBF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宋体" w:hAnsi="宋体" w:eastAsia="宋体" w:cs="宋体"/>
          <w:b w:val="0"/>
          <w:bCs/>
          <w:color w:val="000000" w:themeColor="text1"/>
          <w:sz w:val="28"/>
          <w:szCs w:val="28"/>
          <w14:textFill>
            <w14:solidFill>
              <w14:schemeClr w14:val="tx1"/>
            </w14:solidFill>
          </w14:textFill>
        </w:rPr>
      </w:pPr>
      <w:bookmarkStart w:id="3" w:name="_GoBack"/>
      <w:bookmarkEnd w:id="3"/>
    </w:p>
    <w:p w14:paraId="05AE4D44">
      <w:pPr>
        <w:keepNext w:val="0"/>
        <w:keepLines w:val="0"/>
        <w:pageBreakBefore w:val="0"/>
        <w:widowControl w:val="0"/>
        <w:kinsoku/>
        <w:wordWrap/>
        <w:overflowPunct/>
        <w:topLinePunct w:val="0"/>
        <w:autoSpaceDE/>
        <w:autoSpaceDN/>
        <w:bidi w:val="0"/>
        <w:adjustRightInd/>
        <w:snapToGrid/>
        <w:spacing w:line="520" w:lineRule="exact"/>
        <w:ind w:left="0" w:firstLine="568" w:firstLineChars="200"/>
        <w:rPr>
          <w:rFonts w:hint="eastAsia" w:ascii="宋体" w:hAnsi="宋体" w:eastAsia="宋体" w:cs="宋体"/>
          <w:color w:val="000000" w:themeColor="text1"/>
          <w:spacing w:val="2"/>
          <w:sz w:val="28"/>
          <w:szCs w:val="28"/>
          <w14:textFill>
            <w14:solidFill>
              <w14:schemeClr w14:val="tx1"/>
            </w14:solidFill>
          </w14:textFill>
        </w:rPr>
      </w:pPr>
      <w:r>
        <w:rPr>
          <w:rFonts w:hint="eastAsia" w:ascii="宋体" w:hAnsi="宋体" w:eastAsia="宋体" w:cs="宋体"/>
          <w:color w:val="000000" w:themeColor="text1"/>
          <w:spacing w:val="2"/>
          <w:sz w:val="28"/>
          <w:szCs w:val="28"/>
          <w14:textFill>
            <w14:solidFill>
              <w14:schemeClr w14:val="tx1"/>
            </w14:solidFill>
          </w14:textFill>
        </w:rPr>
        <w:t>为深入贯彻习近平总书记关于教育的重要论述，全面落实党的二十届三中全会、全国教育大会精神、根据《教育强国建设规划纲要(2024—2035年)》、《关于加快推进教育数字化的意见》等文件精神，围绕江苏省教育印发的《关于大力推进高校教学数字化工作的意见》、《江苏高校人工智能赋能专业建设行动方案》、《人工智能赋能教育高质量发展行动方案（2025—2027年）》，推进人工智能与教育教学深度融合，发挥人工智能赋能教育教学改革，形成具有杏林特色的“人工智能+”人才培养体系，以适应新质生产力发展对人才的需求，推动本科专业高质量发展、专业布局优化和数字化转型，学院决定开展2025版本科人才培养方案修订工作，现提出以下修订意见：</w:t>
      </w:r>
      <w:r>
        <w:rPr>
          <w:rFonts w:hint="eastAsia" w:ascii="宋体" w:hAnsi="宋体" w:eastAsia="宋体" w:cs="宋体"/>
          <w:color w:val="000000" w:themeColor="text1"/>
          <w:spacing w:val="2"/>
          <w:sz w:val="28"/>
          <w:szCs w:val="28"/>
          <w14:textFill>
            <w14:solidFill>
              <w14:schemeClr w14:val="tx1"/>
            </w14:solidFill>
          </w14:textFill>
        </w:rPr>
        <w:t xml:space="preserve"> </w:t>
      </w:r>
    </w:p>
    <w:p w14:paraId="0AD6E068">
      <w:pPr>
        <w:keepNext w:val="0"/>
        <w:keepLines w:val="0"/>
        <w:pageBreakBefore w:val="0"/>
        <w:widowControl w:val="0"/>
        <w:kinsoku/>
        <w:wordWrap/>
        <w:overflowPunct/>
        <w:topLinePunct w:val="0"/>
        <w:autoSpaceDE/>
        <w:autoSpaceDN/>
        <w:bidi w:val="0"/>
        <w:adjustRightInd/>
        <w:snapToGrid/>
        <w:spacing w:line="520" w:lineRule="exact"/>
        <w:ind w:left="0"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一、指导思想</w:t>
      </w:r>
    </w:p>
    <w:p w14:paraId="706B99D2">
      <w:pPr>
        <w:keepNext w:val="0"/>
        <w:keepLines w:val="0"/>
        <w:pageBreakBefore w:val="0"/>
        <w:widowControl w:val="0"/>
        <w:kinsoku/>
        <w:wordWrap/>
        <w:overflowPunct/>
        <w:topLinePunct w:val="0"/>
        <w:autoSpaceDE/>
        <w:autoSpaceDN/>
        <w:bidi w:val="0"/>
        <w:adjustRightInd/>
        <w:snapToGrid/>
        <w:spacing w:line="520" w:lineRule="exact"/>
        <w:ind w:left="0"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以习近平新时代中国特色社会主义思想为指导，全面贯彻新时代党的教育方针，坚持为党育人、为国育才，遵循高等教育发展规律和人才成长规律，全面落实立德树人根本任务。以加快建成“高水平应用型本科院校”为奋斗目标，推进“四新”建设，大力弘扬“教育家精神”，坚持“学生中心、产出导向、持续改进”的教育理念，以国家重大战略需求和区域经济社会发展需要为导向，全面优化本科人才培养目标、毕业要求、课程体系，推进本科教育教学高质量发展，着力培养德智体美劳全面发展，具有高度的社会责任感、良好的人文素养与科学素养、职业道德和创新精神，具有必要的理论基础、较强的实践能力、明显的技能优势的应用型人才。</w:t>
      </w:r>
    </w:p>
    <w:p w14:paraId="6AF8F54A">
      <w:pPr>
        <w:keepNext w:val="0"/>
        <w:keepLines w:val="0"/>
        <w:pageBreakBefore w:val="0"/>
        <w:widowControl w:val="0"/>
        <w:kinsoku/>
        <w:wordWrap/>
        <w:overflowPunct/>
        <w:topLinePunct w:val="0"/>
        <w:autoSpaceDE/>
        <w:autoSpaceDN/>
        <w:bidi w:val="0"/>
        <w:adjustRightInd/>
        <w:snapToGrid/>
        <w:spacing w:line="520" w:lineRule="exact"/>
        <w:ind w:left="0"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二、基本原则</w:t>
      </w:r>
    </w:p>
    <w:p w14:paraId="6BE6F637">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1.坚持立德树人，落实五育并举</w:t>
      </w:r>
    </w:p>
    <w:p w14:paraId="16809032">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坚持德育为先，深入推进思政课程和课程思政建设，将思想政治教育融入人才培养各环节。认真落实教育部关于加强大学生思想政治教育、创新创业教育、体育教育、美育教育、劳动教育等文件精神，深入推进新时代体育、美育、劳动教育育人功能，切实将德智体美劳“五育并举”充分落实到课内与课外、理论与实践的教育教学活动中，促进学生全面发展。</w:t>
      </w:r>
    </w:p>
    <w:p w14:paraId="5D289D83">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2.坚持质量标准，夯实发展基础</w:t>
      </w:r>
    </w:p>
    <w:p w14:paraId="7A2F9223">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按照《普通高等学校本科专业类教学质量国家标准》（以下简称《国标》）的培养目标、培养规格和课程体系要求修订人才培养方案。本次修订要基于202</w:t>
      </w:r>
      <w:r>
        <w:rPr>
          <w:rFonts w:hint="eastAsia" w:ascii="宋体" w:hAnsi="宋体" w:eastAsia="宋体" w:cs="宋体"/>
          <w:color w:val="000000" w:themeColor="text1"/>
          <w:sz w:val="28"/>
          <w:szCs w:val="28"/>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年及以前的成功经验，修订前后内容应有继承性和稳定性，既要减少对学籍变动、重修学生产生的不利影响，又能够进一步根据专业领域的知识发展和社会人才需求变化以及《国标》的要求做出恰当调整。</w:t>
      </w:r>
    </w:p>
    <w:p w14:paraId="0E0649F8">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3.坚持学生中心，注重产出导向</w:t>
      </w:r>
    </w:p>
    <w:p w14:paraId="22506F4F">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基于“学生中心、产出导向、持续改进”的OBE教育理念，进一步明确本科人才社会需求与培养目标、培养目标与毕业要求、毕业要求与课程体系之间的关系。广泛调研，充分论证，准确把握本专业领域未来发展趋势及社会需求，以发展的眼光制定专业人才培养方案，以促进学生发展的视角设计学生的毕业要求，使其能支撑培养目标的达成。</w:t>
      </w:r>
    </w:p>
    <w:p w14:paraId="02CAF6BB">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4.强化“四新”建设，推进交叉融合</w:t>
      </w:r>
    </w:p>
    <w:p w14:paraId="3F680CEB">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以新工科、新医科、新文科建设为引领，深化艺科融合。打破学部壁垒，开展跨专业互动与整合，探索师资、课程、实验室共用共享，促进艺术与科技融合。深化产教融合，促进教育链、人才链与产业链、创新链有机衔接，提高行业企业参与人才培养力度，形成产业与教学融合的良好生态，构建以行业企业需求为导向的多元化课程体系。</w:t>
      </w:r>
    </w:p>
    <w:p w14:paraId="15C47AED">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5.强化数字化思维，优化课程体系</w:t>
      </w:r>
    </w:p>
    <w:p w14:paraId="2DACA1A0">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深入贯彻以学生为中心发展理念，优化通识教育课程，精炼整合专业课程，融合创新实践课程。全面梳理各课程的教学内容相互衔接与融合，将学科前沿知识、行业技术发展、最新科研成果等引入课程之中，构建“人工智能+”课程体系，探索人工智能赋能教育教学改革。以教育数字化转型为驱动，推进新一代信息技术与教育教学的融合创新，提高教师数字教学能力，鼓励教师利用现代教学技术开发线上教学资源，变革教学方式，大力开展新技术赋能的混合式、体验式、探究式教学。</w:t>
      </w:r>
    </w:p>
    <w:p w14:paraId="52C1548F">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6.强化实践教学，突出应用能力</w:t>
      </w:r>
    </w:p>
    <w:p w14:paraId="5DD5DF31">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注重知行合一，以知促行，以行求知，加强理论课程与实践环节之间的紧密联系。完善以高素质应用型人才培养为目标的实践教学体系，对实验实训、专业实习、毕业实习、论文（设计）等实践教学环节进行整体优化设计，突出实验实训的基础性和应用型，保证实践教学“四年不断线”。充分利用信息技术，在“能实不虚”的原则下加强虚拟仿真实验项目的应用。</w:t>
      </w:r>
    </w:p>
    <w:p w14:paraId="70E0548E">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三、整体设计</w:t>
      </w:r>
    </w:p>
    <w:p w14:paraId="6918D228">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基本框架主要包括：培养目标、培养要求、主干学科、核心课程、学位课程、实践环节、学制与学位、毕业学分要求、学分学时分配、学时学分测算、课程设置等内容。</w:t>
      </w:r>
    </w:p>
    <w:p w14:paraId="78432B0F">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20" w:lineRule="exact"/>
        <w:ind w:left="0" w:leftChars="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bidi="ar-SA"/>
          <w14:textFill>
            <w14:solidFill>
              <w14:schemeClr w14:val="tx1"/>
            </w14:solidFill>
          </w14:textFill>
        </w:rPr>
        <w:t>四、</w:t>
      </w:r>
      <w:r>
        <w:rPr>
          <w:rFonts w:hint="eastAsia" w:ascii="宋体" w:hAnsi="宋体" w:eastAsia="宋体" w:cs="宋体"/>
          <w:b/>
          <w:bCs/>
          <w:color w:val="000000" w:themeColor="text1"/>
          <w:sz w:val="28"/>
          <w:szCs w:val="28"/>
          <w14:textFill>
            <w14:solidFill>
              <w14:schemeClr w14:val="tx1"/>
            </w14:solidFill>
          </w14:textFill>
        </w:rPr>
        <w:t>修订内容</w:t>
      </w:r>
    </w:p>
    <w:p w14:paraId="43D7D92F">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20" w:lineRule="exact"/>
        <w:ind w:left="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bidi="ar-SA"/>
          <w14:textFill>
            <w14:solidFill>
              <w14:schemeClr w14:val="tx1"/>
            </w14:solidFill>
          </w14:textFill>
        </w:rPr>
        <w:t>1.</w:t>
      </w:r>
      <w:r>
        <w:rPr>
          <w:rFonts w:hint="eastAsia" w:ascii="宋体" w:hAnsi="宋体" w:eastAsia="宋体" w:cs="宋体"/>
          <w:b/>
          <w:bCs/>
          <w:color w:val="000000" w:themeColor="text1"/>
          <w:sz w:val="28"/>
          <w:szCs w:val="28"/>
          <w14:textFill>
            <w14:solidFill>
              <w14:schemeClr w14:val="tx1"/>
            </w14:solidFill>
          </w14:textFill>
        </w:rPr>
        <w:t>培养目标</w:t>
      </w:r>
    </w:p>
    <w:p w14:paraId="4AB3A7EE">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结合学院的服务面向定位、人才培养定位，对接地方经济社会发展、区域行业发展的人才需求和职业能力需求，响应“四新”改革要求，体现应用型人才培养特色。须包含本专业旨在培养XX人，应具备XX素质，掌握XX能力，能从事XX岗位（或领域）工作等要素。各专业应厘清专业升级改造、数字化转型、人工智能赋能高等教育的方向和思路，将数字素养要求、人工智能赋能要求加入培养目标</w:t>
      </w:r>
      <w:r>
        <w:rPr>
          <w:rFonts w:hint="eastAsia" w:ascii="宋体" w:hAnsi="宋体" w:eastAsia="宋体" w:cs="宋体"/>
          <w:color w:val="000000" w:themeColor="text1"/>
          <w:sz w:val="28"/>
          <w:szCs w:val="28"/>
          <w:lang w:eastAsia="zh-CN"/>
          <w14:textFill>
            <w14:solidFill>
              <w14:schemeClr w14:val="tx1"/>
            </w14:solidFill>
          </w14:textFill>
        </w:rPr>
        <w:t>。</w:t>
      </w:r>
    </w:p>
    <w:p w14:paraId="693E36B7">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2"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shd w:val="clear" w:color="auto" w:fill="FFFFFF"/>
          <w14:textFill>
            <w14:solidFill>
              <w14:schemeClr w14:val="tx1"/>
            </w14:solidFill>
          </w14:textFill>
        </w:rPr>
        <w:t>2.培养要求</w:t>
      </w:r>
    </w:p>
    <w:p w14:paraId="12C601D8">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专业要根据专业培养目标制定明确的培养要求，应从知识、能力、素质等方面进行细化，指标点应层层递进，主要说明学生需要学习的基本知识和基础理论，需要具备的专业实践工作方法与技能，以及需要具备的本专业职业道德、规范与素养。培养要求应具有可衡量性，可教、可测、可达，要清晰表达能力要素，要有内在逻辑，并能引导课程设计，从而达到对培养目标的有效支撑。</w:t>
      </w:r>
    </w:p>
    <w:p w14:paraId="51417C81">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2" w:firstLineChars="200"/>
        <w:jc w:val="both"/>
        <w:rPr>
          <w:rFonts w:hint="eastAsia" w:ascii="宋体" w:hAnsi="宋体" w:eastAsia="宋体" w:cs="宋体"/>
          <w:b/>
          <w:bCs/>
          <w:color w:val="000000" w:themeColor="text1"/>
          <w:sz w:val="28"/>
          <w:szCs w:val="28"/>
          <w:shd w:val="clear" w:color="auto" w:fill="FFFFFF"/>
          <w14:textFill>
            <w14:solidFill>
              <w14:schemeClr w14:val="tx1"/>
            </w14:solidFill>
          </w14:textFill>
        </w:rPr>
      </w:pPr>
      <w:r>
        <w:rPr>
          <w:rFonts w:hint="eastAsia" w:ascii="宋体" w:hAnsi="宋体" w:eastAsia="宋体" w:cs="宋体"/>
          <w:b/>
          <w:bCs/>
          <w:color w:val="000000" w:themeColor="text1"/>
          <w:sz w:val="28"/>
          <w:szCs w:val="28"/>
          <w:shd w:val="clear" w:color="auto" w:fill="FFFFFF"/>
          <w14:textFill>
            <w14:solidFill>
              <w14:schemeClr w14:val="tx1"/>
            </w14:solidFill>
          </w14:textFill>
        </w:rPr>
        <w:t>3.学分要求</w:t>
      </w:r>
    </w:p>
    <w:p w14:paraId="5852542D">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（1）总学分：各本科专业应修读总学分应参照《国标》要求做合理安排，四（五）年制本科专业总学分控制在 160（210）学分以内。</w:t>
      </w:r>
    </w:p>
    <w:p w14:paraId="69743117">
      <w:pPr>
        <w:keepNext w:val="0"/>
        <w:keepLines w:val="0"/>
        <w:pageBreakBefore w:val="0"/>
        <w:widowControl w:val="0"/>
        <w:kinsoku/>
        <w:wordWrap/>
        <w:overflowPunct/>
        <w:topLinePunct w:val="0"/>
        <w:autoSpaceDE/>
        <w:autoSpaceDN/>
        <w:bidi w:val="0"/>
        <w:adjustRightInd/>
        <w:snapToGrid/>
        <w:spacing w:line="520" w:lineRule="exact"/>
        <w:ind w:left="0"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（2）学分与学时折算标准：课内的理论教学按16-18 学时计为1学分；课内的实验实践教学按32-36学时计1学分；专业选修课程按32-48学时计2分；集中安排的专业实践环节原则上1周为0.5学分, 毕业设计（论文）计12学分。体育课课内学时每32学时为1学分；军训（含入学教育）2 周计2学分，军事理论课（36 学时）计 2 学分；劳动教育3</w:t>
      </w:r>
      <w:r>
        <w:rPr>
          <w:rFonts w:hint="eastAsia" w:ascii="宋体" w:hAnsi="宋体" w:eastAsia="宋体" w:cs="宋体"/>
          <w:color w:val="000000" w:themeColor="text1"/>
          <w:sz w:val="28"/>
          <w:szCs w:val="28"/>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学时，1个学分；学分最小单位为 0.5。每门课程学时数原则上是 16-18 的倍数。</w:t>
      </w:r>
    </w:p>
    <w:p w14:paraId="298C2B07">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实践教学：包括课内（非独立设课）实践教学、独立设置实践教学、集中性实践环节。人文社科类专业实践教学占总学分比例不低于20%，理工、医学、艺术类专业实践教学比例占总学分比例不低于30%。各专业实践类学分比重均不得超过50%。</w:t>
      </w:r>
    </w:p>
    <w:p w14:paraId="015B860F">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选课课程：包括通识教育选修和专业选修课。各专业选修课程应根据《国标》对选修课的要求设置选修课，《国标》中无明确要求选修课比例的专业，选修课学分占总学分的比例可在25%左右（含通识教育公共选修6学分）。</w:t>
      </w:r>
    </w:p>
    <w:p w14:paraId="2F32B11C">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2" w:firstLineChars="200"/>
        <w:jc w:val="both"/>
        <w:rPr>
          <w:rFonts w:hint="eastAsia" w:ascii="宋体" w:hAnsi="宋体" w:eastAsia="宋体" w:cs="宋体"/>
          <w:b/>
          <w:bCs/>
          <w:color w:val="000000" w:themeColor="text1"/>
          <w:sz w:val="28"/>
          <w:szCs w:val="28"/>
          <w:shd w:val="clear" w:color="auto" w:fill="FFFFFF"/>
          <w14:textFill>
            <w14:solidFill>
              <w14:schemeClr w14:val="tx1"/>
            </w14:solidFill>
          </w14:textFill>
        </w:rPr>
      </w:pPr>
      <w:r>
        <w:rPr>
          <w:rFonts w:hint="eastAsia" w:ascii="宋体" w:hAnsi="宋体" w:eastAsia="宋体" w:cs="宋体"/>
          <w:b/>
          <w:bCs/>
          <w:color w:val="000000" w:themeColor="text1"/>
          <w:sz w:val="28"/>
          <w:szCs w:val="28"/>
          <w:shd w:val="clear" w:color="auto" w:fill="FFFFFF"/>
          <w14:textFill>
            <w14:solidFill>
              <w14:schemeClr w14:val="tx1"/>
            </w14:solidFill>
          </w14:textFill>
        </w:rPr>
        <w:t>4.课程设置</w:t>
      </w:r>
    </w:p>
    <w:p w14:paraId="46C159D6">
      <w:pPr>
        <w:keepNext w:val="0"/>
        <w:keepLines w:val="0"/>
        <w:pageBreakBefore w:val="0"/>
        <w:widowControl w:val="0"/>
        <w:kinsoku/>
        <w:wordWrap/>
        <w:overflowPunct/>
        <w:topLinePunct w:val="0"/>
        <w:autoSpaceDE/>
        <w:autoSpaceDN/>
        <w:bidi w:val="0"/>
        <w:adjustRightInd/>
        <w:snapToGrid/>
        <w:spacing w:line="520" w:lineRule="exact"/>
        <w:ind w:left="0"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（1）课程模块：理论教学板块（通识课程模块、</w:t>
      </w:r>
      <w:r>
        <w:rPr>
          <w:rFonts w:hint="eastAsia" w:ascii="宋体" w:hAnsi="宋体" w:eastAsia="宋体" w:cs="宋体"/>
          <w:bCs/>
          <w:color w:val="000000" w:themeColor="text1"/>
          <w:sz w:val="28"/>
          <w:szCs w:val="28"/>
          <w14:textFill>
            <w14:solidFill>
              <w14:schemeClr w14:val="tx1"/>
            </w14:solidFill>
          </w14:textFill>
        </w:rPr>
        <w:t>专业课程模块</w:t>
      </w:r>
      <w:r>
        <w:rPr>
          <w:rFonts w:hint="eastAsia" w:ascii="宋体" w:hAnsi="宋体" w:eastAsia="宋体" w:cs="宋体"/>
          <w:color w:val="000000" w:themeColor="text1"/>
          <w:sz w:val="28"/>
          <w:szCs w:val="28"/>
          <w14:textFill>
            <w14:solidFill>
              <w14:schemeClr w14:val="tx1"/>
            </w14:solidFill>
          </w14:textFill>
        </w:rPr>
        <w:t>）和实践教学板块（独立实践环节课程模块、专业实验（实践）课程模块、能力扩展模块）组成。通识课程模块中必修课程可参照学院提供模板做适当调整，选修课程含艺术类、人工智能类及其他类公选课，其中艺术类公选课至少选修2个学分。专业课程模块中，</w:t>
      </w:r>
      <w:r>
        <w:rPr>
          <w:rFonts w:hint="eastAsia" w:ascii="宋体" w:hAnsi="宋体" w:eastAsia="宋体" w:cs="宋体"/>
          <w:color w:val="000000" w:themeColor="text1"/>
          <w:sz w:val="28"/>
          <w:szCs w:val="28"/>
          <w:shd w:val="clear" w:color="auto" w:fill="FFFFFF"/>
          <w14:textFill>
            <w14:solidFill>
              <w14:schemeClr w14:val="tx1"/>
            </w14:solidFill>
          </w14:textFill>
        </w:rPr>
        <w:t>每个专业原则上都要有一定数量的纯理论课程和独立设置的实践课程（除集中性实践环节）；专业核心类课程的设置应充分论证，科学设置，不分模块。</w:t>
      </w:r>
    </w:p>
    <w:p w14:paraId="02A043D8">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color w:val="000000" w:themeColor="text1"/>
          <w:sz w:val="28"/>
          <w:szCs w:val="28"/>
          <w:shd w:val="clear" w:color="auto" w:fill="FFFFFF"/>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（2）构建“人工智能+”课程体系。</w:t>
      </w:r>
      <w:r>
        <w:rPr>
          <w:rFonts w:hint="eastAsia" w:ascii="宋体" w:hAnsi="宋体" w:eastAsia="宋体" w:cs="宋体"/>
          <w:color w:val="000000" w:themeColor="text1"/>
          <w:sz w:val="28"/>
          <w:szCs w:val="28"/>
          <w:shd w:val="clear" w:color="auto" w:fill="FFFFFF"/>
          <w14:textFill>
            <w14:solidFill>
              <w14:schemeClr w14:val="tx1"/>
            </w14:solidFill>
          </w14:textFill>
        </w:rPr>
        <w:t>从通识教育、专业教育、集中实践等三个环节深度融合以AI为主要特征的信息教育，形成“人工智能+”人才培养课程体系，提升学生信息素养，推进新文科、新工科、新医科建设。在通识课程模块设置1-2门人工智能通识课程，帮助学生认识人工智能的发展现状、未来趋势，培养学生人工智能思维方法、跨学科交叉意识，掌握人工智能的基本原理、基础逻辑，引导学生树立科技向善的价值观（参照南通大学）。在专业课程模块，</w:t>
      </w:r>
      <w:r>
        <w:rPr>
          <w:rFonts w:hint="eastAsia" w:ascii="宋体" w:hAnsi="宋体" w:eastAsia="宋体" w:cs="宋体"/>
          <w:color w:val="000000" w:themeColor="text1"/>
          <w:sz w:val="28"/>
          <w:szCs w:val="28"/>
          <w14:textFill>
            <w14:solidFill>
              <w14:schemeClr w14:val="tx1"/>
            </w14:solidFill>
          </w14:textFill>
        </w:rPr>
        <w:t>设置或改造2-3门“AI+学科”交叉融合专业课程，主要有</w:t>
      </w:r>
      <w:r>
        <w:rPr>
          <w:rFonts w:hint="eastAsia" w:ascii="宋体" w:hAnsi="宋体" w:eastAsia="宋体" w:cs="宋体"/>
          <w:color w:val="000000" w:themeColor="text1"/>
          <w:sz w:val="28"/>
          <w:szCs w:val="28"/>
          <w:shd w:val="clear" w:color="auto" w:fill="FFFFFF"/>
          <w14:textFill>
            <w14:solidFill>
              <w14:schemeClr w14:val="tx1"/>
            </w14:solidFill>
          </w14:textFill>
        </w:rPr>
        <w:t>融合人工智能、大数据、区块链、物联网等数智技术内容的专业课程</w:t>
      </w:r>
      <w:r>
        <w:rPr>
          <w:rFonts w:hint="eastAsia" w:ascii="宋体" w:hAnsi="宋体" w:eastAsia="宋体" w:cs="宋体"/>
          <w:color w:val="000000" w:themeColor="text1"/>
          <w:sz w:val="28"/>
          <w:szCs w:val="28"/>
          <w14:textFill>
            <w14:solidFill>
              <w14:schemeClr w14:val="tx1"/>
            </w14:solidFill>
          </w14:textFill>
        </w:rPr>
        <w:t>。在集中实验实训环节，</w:t>
      </w:r>
      <w:r>
        <w:rPr>
          <w:rFonts w:hint="eastAsia" w:ascii="宋体" w:hAnsi="宋体" w:eastAsia="宋体" w:cs="宋体"/>
          <w:color w:val="000000" w:themeColor="text1"/>
          <w:sz w:val="28"/>
          <w:szCs w:val="28"/>
          <w:shd w:val="clear" w:color="auto" w:fill="FFFFFF"/>
          <w14:textFill>
            <w14:solidFill>
              <w14:schemeClr w14:val="tx1"/>
            </w14:solidFill>
          </w14:textFill>
        </w:rPr>
        <w:t>对优势特色专业的专业综合实训进行升级改造，打造“</w:t>
      </w:r>
      <w:r>
        <w:rPr>
          <w:rFonts w:hint="eastAsia" w:ascii="宋体" w:hAnsi="宋体" w:eastAsia="宋体" w:cs="宋体"/>
          <w:color w:val="000000" w:themeColor="text1"/>
          <w:sz w:val="28"/>
          <w:szCs w:val="28"/>
          <w14:textFill>
            <w14:solidFill>
              <w14:schemeClr w14:val="tx1"/>
            </w14:solidFill>
          </w14:textFill>
        </w:rPr>
        <w:t>AI</w:t>
      </w:r>
      <w:r>
        <w:rPr>
          <w:rFonts w:hint="eastAsia" w:ascii="宋体" w:hAnsi="宋体" w:eastAsia="宋体" w:cs="宋体"/>
          <w:color w:val="000000" w:themeColor="text1"/>
          <w:sz w:val="28"/>
          <w:szCs w:val="28"/>
          <w:shd w:val="clear" w:color="auto" w:fill="FFFFFF"/>
          <w14:textFill>
            <w14:solidFill>
              <w14:schemeClr w14:val="tx1"/>
            </w14:solidFill>
          </w14:textFill>
        </w:rPr>
        <w:t>+”集中实训环节（数智实训）。</w:t>
      </w:r>
    </w:p>
    <w:p w14:paraId="59577036">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firstLine="560" w:firstLineChars="200"/>
        <w:textAlignment w:val="auto"/>
        <w:rPr>
          <w:rFonts w:hint="eastAsia" w:ascii="宋体" w:hAnsi="宋体" w:eastAsia="宋体" w:cs="宋体"/>
          <w:b/>
          <w:bCs/>
          <w:color w:val="000000" w:themeColor="text1"/>
          <w:sz w:val="28"/>
          <w:szCs w:val="28"/>
          <w:shd w:val="clear" w:color="auto" w:fill="FFFFFF"/>
          <w14:textFill>
            <w14:solidFill>
              <w14:schemeClr w14:val="tx1"/>
            </w14:solidFill>
          </w14:textFill>
        </w:rPr>
      </w:pPr>
      <w:r>
        <w:rPr>
          <w:rFonts w:hint="eastAsia" w:ascii="宋体" w:hAnsi="宋体" w:eastAsia="宋体" w:cs="宋体"/>
          <w:color w:val="000000" w:themeColor="text1"/>
          <w:sz w:val="28"/>
          <w:szCs w:val="28"/>
          <w:shd w:val="clear" w:color="auto" w:fill="FFFFFF"/>
          <w14:textFill>
            <w14:solidFill>
              <w14:schemeClr w14:val="tx1"/>
            </w14:solidFill>
          </w14:textFill>
        </w:rPr>
        <w:t>（3）特色课程设置：在能力拓展模块中，</w:t>
      </w:r>
      <w:r>
        <w:rPr>
          <w:rFonts w:hint="eastAsia" w:ascii="宋体" w:hAnsi="宋体" w:eastAsia="宋体" w:cs="宋体"/>
          <w:color w:val="000000" w:themeColor="text1"/>
          <w:sz w:val="28"/>
          <w:szCs w:val="28"/>
          <w14:textFill>
            <w14:solidFill>
              <w14:schemeClr w14:val="tx1"/>
            </w14:solidFill>
          </w14:textFill>
        </w:rPr>
        <w:t>鼓励各专业引进1-2门优质国际化课程，以培养学生国际化视野。</w:t>
      </w:r>
    </w:p>
    <w:p w14:paraId="0A78B10C">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2" w:firstLineChars="200"/>
        <w:jc w:val="both"/>
        <w:rPr>
          <w:rFonts w:hint="eastAsia" w:ascii="宋体" w:hAnsi="宋体" w:eastAsia="宋体" w:cs="宋体"/>
          <w:b/>
          <w:bCs/>
          <w:color w:val="000000" w:themeColor="text1"/>
          <w:sz w:val="28"/>
          <w:szCs w:val="28"/>
          <w:shd w:val="clear" w:color="auto" w:fill="FFFFFF"/>
          <w14:textFill>
            <w14:solidFill>
              <w14:schemeClr w14:val="tx1"/>
            </w14:solidFill>
          </w14:textFill>
        </w:rPr>
      </w:pPr>
      <w:r>
        <w:rPr>
          <w:rFonts w:hint="eastAsia" w:ascii="宋体" w:hAnsi="宋体" w:eastAsia="宋体" w:cs="宋体"/>
          <w:b/>
          <w:bCs/>
          <w:color w:val="000000" w:themeColor="text1"/>
          <w:sz w:val="28"/>
          <w:szCs w:val="28"/>
          <w:shd w:val="clear" w:color="auto" w:fill="FFFFFF"/>
          <w14:textFill>
            <w14:solidFill>
              <w14:schemeClr w14:val="tx1"/>
            </w14:solidFill>
          </w14:textFill>
        </w:rPr>
        <w:t>5.其他要求</w:t>
      </w:r>
    </w:p>
    <w:p w14:paraId="532CD347">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教学安排：各教学环节学时学分的分布、开出形式符合《国标》要求，先修后续关系符合专业教学规律；课程安排应前紧后松，原则上第6学期（含）以前应结束所有专业核心课程教学任务，第7学期期中前（第10周）基本结束实践教学环节和专业选修课程教学任务，同时启动毕业论文（设计）工作。</w:t>
      </w:r>
    </w:p>
    <w:p w14:paraId="79B2344A">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shd w:val="clear" w:color="auto" w:fill="FFFFFF"/>
          <w14:textFill>
            <w14:solidFill>
              <w14:schemeClr w14:val="tx1"/>
            </w14:solidFill>
          </w14:textFill>
        </w:rPr>
        <w:t>（2）课程编码：</w:t>
      </w:r>
      <w:r>
        <w:rPr>
          <w:rFonts w:hint="eastAsia" w:ascii="宋体" w:hAnsi="宋体" w:eastAsia="宋体" w:cs="宋体"/>
          <w:color w:val="000000" w:themeColor="text1"/>
          <w:sz w:val="28"/>
          <w:szCs w:val="28"/>
          <w14:textFill>
            <w14:solidFill>
              <w14:schemeClr w14:val="tx1"/>
            </w14:solidFill>
          </w14:textFill>
        </w:rPr>
        <w:t>课程编码由9位阿拉伯数字组成，一般为：启用</w:t>
      </w:r>
      <w:r>
        <w:rPr>
          <w:rFonts w:hint="eastAsia" w:ascii="宋体" w:hAnsi="宋体" w:eastAsia="宋体" w:cs="宋体"/>
          <w:color w:val="000000" w:themeColor="text1"/>
          <w:sz w:val="28"/>
          <w:szCs w:val="28"/>
          <w14:textFill>
            <w14:solidFill>
              <w14:schemeClr w14:val="tx1"/>
            </w14:solidFill>
          </w14:textFill>
        </w:rPr>
        <w:t>年级</w:t>
      </w:r>
      <w:r>
        <w:rPr>
          <w:rFonts w:hint="eastAsia" w:ascii="宋体" w:hAnsi="宋体" w:eastAsia="宋体" w:cs="宋体"/>
          <w:color w:val="000000" w:themeColor="text1"/>
          <w:sz w:val="28"/>
          <w:szCs w:val="28"/>
          <w14:textFill>
            <w14:solidFill>
              <w14:schemeClr w14:val="tx1"/>
            </w14:solidFill>
          </w14:textFill>
        </w:rPr>
        <w:t>（第1—2位）+开课学院代码（第3</w:t>
      </w:r>
      <w:r>
        <w:rPr>
          <w:rFonts w:hint="eastAsia" w:ascii="宋体" w:hAnsi="宋体" w:eastAsia="宋体" w:cs="宋体"/>
          <w:color w:val="000000" w:themeColor="text1"/>
          <w:sz w:val="28"/>
          <w:szCs w:val="28"/>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位）+杏林</w:t>
      </w:r>
      <w:r>
        <w:rPr>
          <w:rFonts w:hint="eastAsia" w:ascii="宋体" w:hAnsi="宋体" w:eastAsia="宋体" w:cs="宋体"/>
          <w:color w:val="000000" w:themeColor="text1"/>
          <w:sz w:val="28"/>
          <w:szCs w:val="28"/>
          <w14:textFill>
            <w14:solidFill>
              <w14:schemeClr w14:val="tx1"/>
            </w14:solidFill>
          </w14:textFill>
        </w:rPr>
        <w:t>代</w:t>
      </w:r>
      <w:r>
        <w:rPr>
          <w:rFonts w:hint="eastAsia" w:ascii="宋体" w:hAnsi="宋体" w:eastAsia="宋体" w:cs="宋体"/>
          <w:color w:val="000000" w:themeColor="text1"/>
          <w:sz w:val="28"/>
          <w:szCs w:val="28"/>
          <w14:textFill>
            <w14:solidFill>
              <w14:schemeClr w14:val="tx1"/>
            </w14:solidFill>
          </w14:textFill>
        </w:rPr>
        <w:t>码（第</w:t>
      </w:r>
      <w:r>
        <w:rPr>
          <w:rFonts w:hint="eastAsia" w:ascii="宋体" w:hAnsi="宋体" w:eastAsia="宋体" w:cs="宋体"/>
          <w:color w:val="000000" w:themeColor="text1"/>
          <w:sz w:val="28"/>
          <w:szCs w:val="28"/>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位）+</w:t>
      </w:r>
      <w:r>
        <w:rPr>
          <w:rFonts w:hint="eastAsia" w:ascii="宋体" w:hAnsi="宋体" w:eastAsia="宋体" w:cs="宋体"/>
          <w:color w:val="000000" w:themeColor="text1"/>
          <w:sz w:val="28"/>
          <w:szCs w:val="28"/>
          <w14:textFill>
            <w14:solidFill>
              <w14:schemeClr w14:val="tx1"/>
            </w14:solidFill>
          </w14:textFill>
        </w:rPr>
        <w:t>随机码</w:t>
      </w:r>
      <w:r>
        <w:rPr>
          <w:rFonts w:hint="eastAsia" w:ascii="宋体" w:hAnsi="宋体" w:eastAsia="宋体" w:cs="宋体"/>
          <w:color w:val="000000" w:themeColor="text1"/>
          <w:sz w:val="28"/>
          <w:szCs w:val="28"/>
          <w14:textFill>
            <w14:solidFill>
              <w14:schemeClr w14:val="tx1"/>
            </w14:solidFill>
          </w14:textFill>
        </w:rPr>
        <w:t>（第</w:t>
      </w:r>
      <w:r>
        <w:rPr>
          <w:rFonts w:hint="eastAsia" w:ascii="宋体" w:hAnsi="宋体" w:eastAsia="宋体" w:cs="宋体"/>
          <w:color w:val="000000" w:themeColor="text1"/>
          <w:sz w:val="28"/>
          <w:szCs w:val="28"/>
          <w14:textFill>
            <w14:solidFill>
              <w14:schemeClr w14:val="tx1"/>
            </w14:solidFill>
          </w14:textFill>
        </w:rPr>
        <w:t>7-9</w:t>
      </w:r>
      <w:r>
        <w:rPr>
          <w:rFonts w:hint="eastAsia" w:ascii="宋体" w:hAnsi="宋体" w:eastAsia="宋体" w:cs="宋体"/>
          <w:color w:val="000000" w:themeColor="text1"/>
          <w:sz w:val="28"/>
          <w:szCs w:val="28"/>
          <w14:textFill>
            <w14:solidFill>
              <w14:schemeClr w14:val="tx1"/>
            </w14:solidFill>
          </w14:textFill>
        </w:rPr>
        <w:t>位）。</w:t>
      </w:r>
    </w:p>
    <w:p w14:paraId="448CF17F">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）课程</w:t>
      </w:r>
      <w:r>
        <w:rPr>
          <w:rFonts w:hint="eastAsia" w:ascii="宋体" w:hAnsi="宋体" w:eastAsia="宋体" w:cs="宋体"/>
          <w:color w:val="000000" w:themeColor="text1"/>
          <w:sz w:val="28"/>
          <w:szCs w:val="28"/>
          <w14:textFill>
            <w14:solidFill>
              <w14:schemeClr w14:val="tx1"/>
            </w14:solidFill>
          </w14:textFill>
        </w:rPr>
        <w:t>名称：中英文</w:t>
      </w:r>
      <w:r>
        <w:rPr>
          <w:rFonts w:hint="eastAsia" w:ascii="宋体" w:hAnsi="宋体" w:eastAsia="宋体" w:cs="宋体"/>
          <w:color w:val="000000" w:themeColor="text1"/>
          <w:sz w:val="28"/>
          <w:szCs w:val="28"/>
          <w14:textFill>
            <w14:solidFill>
              <w14:schemeClr w14:val="tx1"/>
            </w14:solidFill>
          </w14:textFill>
        </w:rPr>
        <w:t>。</w:t>
      </w:r>
    </w:p>
    <w:p w14:paraId="6E195D4A">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20" w:lineRule="exact"/>
        <w:ind w:left="0"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）课程标注：各专业学位课程后加★符号标出，“人工智能+”课程后加</w:t>
      </w:r>
      <w:r>
        <w:rPr>
          <w:rFonts w:hint="eastAsia" w:ascii="宋体" w:hAnsi="宋体" w:eastAsia="宋体" w:cs="宋体"/>
          <w:b/>
          <w:color w:val="000000" w:themeColor="text1"/>
          <w:sz w:val="28"/>
          <w:szCs w:val="28"/>
          <w14:textFill>
            <w14:solidFill>
              <w14:schemeClr w14:val="tx1"/>
            </w14:solidFill>
          </w14:textFill>
        </w:rPr>
        <w:t>&amp;</w:t>
      </w:r>
      <w:r>
        <w:rPr>
          <w:rFonts w:hint="eastAsia" w:ascii="宋体" w:hAnsi="宋体" w:eastAsia="宋体" w:cs="宋体"/>
          <w:color w:val="000000" w:themeColor="text1"/>
          <w:sz w:val="28"/>
          <w:szCs w:val="28"/>
          <w14:textFill>
            <w14:solidFill>
              <w14:schemeClr w14:val="tx1"/>
            </w14:solidFill>
          </w14:textFill>
        </w:rPr>
        <w:t>符号标出。</w:t>
      </w:r>
    </w:p>
    <w:p w14:paraId="0C7C946A">
      <w:pPr>
        <w:spacing w:line="480" w:lineRule="auto"/>
        <w:ind w:firstLine="562" w:firstLineChars="200"/>
        <w:rPr>
          <w:rFonts w:hint="eastAsia" w:ascii="宋体" w:hAnsi="宋体" w:eastAsia="宋体" w:cs="宋体"/>
          <w:b/>
          <w:bCs/>
          <w:color w:val="000000" w:themeColor="text1"/>
          <w:sz w:val="28"/>
          <w:szCs w:val="28"/>
          <w14:textFill>
            <w14:solidFill>
              <w14:schemeClr w14:val="tx1"/>
            </w14:solidFill>
          </w14:textFill>
        </w:rPr>
      </w:pPr>
    </w:p>
    <w:p w14:paraId="22565617">
      <w:pPr>
        <w:widowControl/>
        <w:shd w:val="clear" w:color="auto" w:fill="FFFFFF"/>
        <w:adjustRightInd/>
        <w:spacing w:line="360" w:lineRule="auto"/>
        <w:ind w:firstLine="562" w:firstLineChars="200"/>
        <w:jc w:val="right"/>
        <w:textAlignment w:val="auto"/>
        <w:rPr>
          <w:rFonts w:hint="eastAsia" w:ascii="宋体" w:hAnsi="宋体" w:eastAsia="宋体" w:cs="宋体"/>
          <w:color w:val="000000" w:themeColor="text1"/>
          <w:sz w:val="28"/>
          <w:szCs w:val="28"/>
          <w:shd w:val="clear" w:color="auto" w:fill="FFFFFF"/>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 xml:space="preserve">              </w:t>
      </w:r>
      <w:r>
        <w:rPr>
          <w:rFonts w:hint="eastAsia" w:ascii="宋体" w:hAnsi="宋体" w:eastAsia="宋体" w:cs="宋体"/>
          <w:color w:val="000000" w:themeColor="text1"/>
          <w:sz w:val="28"/>
          <w:szCs w:val="28"/>
          <w:shd w:val="clear" w:color="auto" w:fill="FFFFFF"/>
          <w14:textFill>
            <w14:solidFill>
              <w14:schemeClr w14:val="tx1"/>
            </w14:solidFill>
          </w14:textFill>
        </w:rPr>
        <w:t>南通大学杏林学院教务处</w:t>
      </w:r>
    </w:p>
    <w:p w14:paraId="653170F1">
      <w:pPr>
        <w:widowControl/>
        <w:shd w:val="clear" w:color="auto" w:fill="FFFFFF"/>
        <w:wordWrap w:val="0"/>
        <w:adjustRightInd/>
        <w:spacing w:line="360" w:lineRule="auto"/>
        <w:ind w:firstLine="560" w:firstLineChars="200"/>
        <w:jc w:val="right"/>
        <w:textAlignment w:val="auto"/>
        <w:rPr>
          <w:rFonts w:hint="eastAsia" w:ascii="宋体" w:hAnsi="宋体" w:eastAsia="宋体" w:cs="宋体"/>
          <w:color w:val="000000" w:themeColor="text1"/>
          <w:sz w:val="28"/>
          <w:szCs w:val="28"/>
          <w:shd w:val="clear" w:color="auto" w:fill="FFFFFF"/>
          <w:lang w:val="en-US" w:eastAsia="zh-CN"/>
          <w14:textFill>
            <w14:solidFill>
              <w14:schemeClr w14:val="tx1"/>
            </w14:solidFill>
          </w14:textFill>
        </w:rPr>
      </w:pPr>
      <w:r>
        <w:rPr>
          <w:rFonts w:hint="eastAsia" w:ascii="宋体" w:hAnsi="宋体" w:eastAsia="宋体" w:cs="宋体"/>
          <w:color w:val="000000" w:themeColor="text1"/>
          <w:sz w:val="28"/>
          <w:szCs w:val="28"/>
          <w:shd w:val="clear" w:color="auto" w:fill="FFFFFF"/>
          <w14:textFill>
            <w14:solidFill>
              <w14:schemeClr w14:val="tx1"/>
            </w14:solidFill>
          </w14:textFill>
        </w:rPr>
        <w:t xml:space="preserve">            2025年4月28日</w:t>
      </w:r>
      <w:r>
        <w:rPr>
          <w:rFonts w:hint="eastAsia" w:ascii="宋体" w:hAnsi="宋体" w:eastAsia="宋体" w:cs="宋体"/>
          <w:color w:val="000000" w:themeColor="text1"/>
          <w:sz w:val="28"/>
          <w:szCs w:val="28"/>
          <w:shd w:val="clear" w:color="auto" w:fill="FFFFFF"/>
          <w:lang w:val="en-US" w:eastAsia="zh-CN"/>
          <w14:textFill>
            <w14:solidFill>
              <w14:schemeClr w14:val="tx1"/>
            </w14:solidFill>
          </w14:textFill>
        </w:rPr>
        <w:t xml:space="preserve">   </w:t>
      </w:r>
    </w:p>
    <w:p w14:paraId="34C6BD6B">
      <w:pPr>
        <w:rPr>
          <w:rFonts w:hint="eastAsia" w:ascii="宋体" w:hAnsi="宋体" w:eastAsia="宋体" w:cs="宋体"/>
          <w:b/>
          <w:bCs/>
          <w:color w:val="000000" w:themeColor="text1"/>
          <w:sz w:val="28"/>
          <w:szCs w:val="28"/>
          <w14:textFill>
            <w14:solidFill>
              <w14:schemeClr w14:val="tx1"/>
            </w14:solidFill>
          </w14:textFill>
        </w:rPr>
      </w:pPr>
    </w:p>
    <w:p w14:paraId="475D92FA">
      <w:pPr>
        <w:rPr>
          <w:rFonts w:hint="eastAsia" w:ascii="宋体" w:hAnsi="宋体" w:eastAsia="宋体" w:cs="宋体"/>
          <w:b/>
          <w:bCs/>
          <w:color w:val="000000" w:themeColor="text1"/>
          <w:sz w:val="28"/>
          <w:szCs w:val="28"/>
          <w14:textFill>
            <w14:solidFill>
              <w14:schemeClr w14:val="tx1"/>
            </w14:solidFill>
          </w14:textFill>
        </w:rPr>
      </w:pPr>
    </w:p>
    <w:p w14:paraId="6BDC6A3E">
      <w:pPr>
        <w:rPr>
          <w:rFonts w:hint="eastAsia" w:ascii="宋体" w:hAnsi="宋体" w:eastAsia="宋体" w:cs="宋体"/>
          <w:b/>
          <w:bCs/>
          <w:color w:val="000000" w:themeColor="text1"/>
          <w:sz w:val="28"/>
          <w:szCs w:val="28"/>
          <w14:textFill>
            <w14:solidFill>
              <w14:schemeClr w14:val="tx1"/>
            </w14:solidFill>
          </w14:textFill>
        </w:rPr>
      </w:pPr>
    </w:p>
    <w:p w14:paraId="01E4BC2C">
      <w:pPr>
        <w:rPr>
          <w:rFonts w:hint="eastAsia" w:ascii="宋体" w:hAnsi="宋体" w:eastAsia="宋体" w:cs="宋体"/>
          <w:b/>
          <w:bCs/>
          <w:color w:val="000000" w:themeColor="text1"/>
          <w:sz w:val="28"/>
          <w:szCs w:val="28"/>
          <w14:textFill>
            <w14:solidFill>
              <w14:schemeClr w14:val="tx1"/>
            </w14:solidFill>
          </w14:textFill>
        </w:rPr>
      </w:pPr>
    </w:p>
    <w:p w14:paraId="3F1389F9">
      <w:pPr>
        <w:rPr>
          <w:rFonts w:hint="eastAsia" w:ascii="宋体" w:hAnsi="宋体" w:eastAsia="宋体" w:cs="宋体"/>
          <w:b/>
          <w:bCs/>
          <w:color w:val="000000" w:themeColor="text1"/>
          <w:sz w:val="28"/>
          <w:szCs w:val="28"/>
          <w14:textFill>
            <w14:solidFill>
              <w14:schemeClr w14:val="tx1"/>
            </w14:solidFill>
          </w14:textFill>
        </w:rPr>
      </w:pPr>
    </w:p>
    <w:p w14:paraId="6BA0F2D1">
      <w:pPr>
        <w:rPr>
          <w:rFonts w:hint="eastAsia" w:ascii="宋体" w:hAnsi="宋体" w:eastAsia="宋体" w:cs="宋体"/>
          <w:b/>
          <w:bCs/>
          <w:color w:val="000000" w:themeColor="text1"/>
          <w:sz w:val="28"/>
          <w:szCs w:val="28"/>
          <w14:textFill>
            <w14:solidFill>
              <w14:schemeClr w14:val="tx1"/>
            </w14:solidFill>
          </w14:textFill>
        </w:rPr>
      </w:pPr>
    </w:p>
    <w:p w14:paraId="18903935">
      <w:pPr>
        <w:rPr>
          <w:rFonts w:hint="eastAsia" w:ascii="宋体" w:hAnsi="宋体" w:eastAsia="宋体" w:cs="宋体"/>
          <w:b/>
          <w:bCs/>
          <w:color w:val="000000" w:themeColor="text1"/>
          <w:sz w:val="28"/>
          <w:szCs w:val="28"/>
          <w14:textFill>
            <w14:solidFill>
              <w14:schemeClr w14:val="tx1"/>
            </w14:solidFill>
          </w14:textFill>
        </w:rPr>
      </w:pPr>
    </w:p>
    <w:p w14:paraId="6FEF74B4">
      <w:pPr>
        <w:rPr>
          <w:rFonts w:hint="eastAsia" w:ascii="宋体" w:hAnsi="宋体" w:eastAsia="宋体" w:cs="宋体"/>
          <w:b/>
          <w:bCs/>
          <w:color w:val="000000" w:themeColor="text1"/>
          <w:sz w:val="28"/>
          <w:szCs w:val="28"/>
          <w14:textFill>
            <w14:solidFill>
              <w14:schemeClr w14:val="tx1"/>
            </w14:solidFill>
          </w14:textFill>
        </w:rPr>
      </w:pPr>
    </w:p>
    <w:p w14:paraId="505CFE0C">
      <w:pPr>
        <w:rPr>
          <w:rFonts w:hint="eastAsia" w:ascii="宋体" w:hAnsi="宋体" w:eastAsia="宋体" w:cs="宋体"/>
          <w:b/>
          <w:bCs/>
          <w:color w:val="000000" w:themeColor="text1"/>
          <w:sz w:val="28"/>
          <w:szCs w:val="28"/>
          <w14:textFill>
            <w14:solidFill>
              <w14:schemeClr w14:val="tx1"/>
            </w14:solidFill>
          </w14:textFill>
        </w:rPr>
      </w:pPr>
    </w:p>
    <w:p w14:paraId="1A8AF87D">
      <w:pPr>
        <w:rPr>
          <w:rFonts w:hint="eastAsia" w:ascii="宋体" w:hAnsi="宋体" w:eastAsia="宋体" w:cs="宋体"/>
          <w:b/>
          <w:bCs/>
          <w:color w:val="000000" w:themeColor="text1"/>
          <w:sz w:val="28"/>
          <w:szCs w:val="28"/>
          <w14:textFill>
            <w14:solidFill>
              <w14:schemeClr w14:val="tx1"/>
            </w14:solidFill>
          </w14:textFill>
        </w:rPr>
      </w:pPr>
    </w:p>
    <w:p w14:paraId="606B9CFD">
      <w:pPr>
        <w:rPr>
          <w:rFonts w:hint="eastAsia" w:ascii="宋体" w:hAnsi="宋体" w:eastAsia="宋体" w:cs="宋体"/>
          <w:b/>
          <w:bCs/>
          <w:color w:val="000000" w:themeColor="text1"/>
          <w:sz w:val="28"/>
          <w:szCs w:val="28"/>
          <w14:textFill>
            <w14:solidFill>
              <w14:schemeClr w14:val="tx1"/>
            </w14:solidFill>
          </w14:textFill>
        </w:rPr>
      </w:pPr>
    </w:p>
    <w:p w14:paraId="549AF0E0">
      <w:pPr>
        <w:rPr>
          <w:rFonts w:hint="eastAsia" w:ascii="宋体" w:hAnsi="宋体" w:eastAsia="宋体" w:cs="宋体"/>
          <w:b/>
          <w:bCs/>
          <w:color w:val="000000" w:themeColor="text1"/>
          <w:sz w:val="28"/>
          <w:szCs w:val="28"/>
          <w14:textFill>
            <w14:solidFill>
              <w14:schemeClr w14:val="tx1"/>
            </w14:solidFill>
          </w14:textFill>
        </w:rPr>
      </w:pPr>
    </w:p>
    <w:p w14:paraId="5E057621">
      <w:pPr>
        <w:rPr>
          <w:rFonts w:hint="eastAsia" w:ascii="宋体" w:hAnsi="宋体" w:eastAsia="宋体" w:cs="宋体"/>
          <w:color w:val="000000" w:themeColor="text1"/>
          <w:sz w:val="28"/>
          <w:szCs w:val="28"/>
          <w14:textFill>
            <w14:solidFill>
              <w14:schemeClr w14:val="tx1"/>
            </w14:solidFill>
          </w14:textFill>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6842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9F74F2">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E9F74F2">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2MTcyNTNkN2Y0MWI2OTM5N2NjYTFlYjc0ZTJkMGIifQ=="/>
  </w:docVars>
  <w:rsids>
    <w:rsidRoot w:val="003C5CF0"/>
    <w:rsid w:val="00025C12"/>
    <w:rsid w:val="00041C10"/>
    <w:rsid w:val="00056CCF"/>
    <w:rsid w:val="000960BD"/>
    <w:rsid w:val="000A2511"/>
    <w:rsid w:val="000D590B"/>
    <w:rsid w:val="00106BA3"/>
    <w:rsid w:val="0011508A"/>
    <w:rsid w:val="001E7AA7"/>
    <w:rsid w:val="00213115"/>
    <w:rsid w:val="002422D1"/>
    <w:rsid w:val="00280678"/>
    <w:rsid w:val="00283B8B"/>
    <w:rsid w:val="002A3261"/>
    <w:rsid w:val="002B1165"/>
    <w:rsid w:val="00302E00"/>
    <w:rsid w:val="003039F1"/>
    <w:rsid w:val="00327117"/>
    <w:rsid w:val="00330EE5"/>
    <w:rsid w:val="00364F11"/>
    <w:rsid w:val="003913F4"/>
    <w:rsid w:val="003A182F"/>
    <w:rsid w:val="003C5CF0"/>
    <w:rsid w:val="0040606F"/>
    <w:rsid w:val="00413FAA"/>
    <w:rsid w:val="00441177"/>
    <w:rsid w:val="00484114"/>
    <w:rsid w:val="004C6849"/>
    <w:rsid w:val="004D431C"/>
    <w:rsid w:val="005063AF"/>
    <w:rsid w:val="005118E4"/>
    <w:rsid w:val="00515BC1"/>
    <w:rsid w:val="00543414"/>
    <w:rsid w:val="005561CA"/>
    <w:rsid w:val="005963A5"/>
    <w:rsid w:val="005A70EA"/>
    <w:rsid w:val="005F680D"/>
    <w:rsid w:val="006451D2"/>
    <w:rsid w:val="00676DFD"/>
    <w:rsid w:val="00696444"/>
    <w:rsid w:val="006C4138"/>
    <w:rsid w:val="006C757F"/>
    <w:rsid w:val="0075142D"/>
    <w:rsid w:val="00763BCE"/>
    <w:rsid w:val="00781809"/>
    <w:rsid w:val="008148B1"/>
    <w:rsid w:val="0085617F"/>
    <w:rsid w:val="0086476D"/>
    <w:rsid w:val="008707F5"/>
    <w:rsid w:val="00893363"/>
    <w:rsid w:val="008F47FE"/>
    <w:rsid w:val="008F7DFF"/>
    <w:rsid w:val="0090461A"/>
    <w:rsid w:val="00910F3D"/>
    <w:rsid w:val="00913E76"/>
    <w:rsid w:val="00916A5E"/>
    <w:rsid w:val="00925B40"/>
    <w:rsid w:val="009C054C"/>
    <w:rsid w:val="00A21125"/>
    <w:rsid w:val="00A739FB"/>
    <w:rsid w:val="00A92922"/>
    <w:rsid w:val="00AB1C7E"/>
    <w:rsid w:val="00B402BF"/>
    <w:rsid w:val="00B57862"/>
    <w:rsid w:val="00B76A64"/>
    <w:rsid w:val="00C01037"/>
    <w:rsid w:val="00C2725B"/>
    <w:rsid w:val="00C34128"/>
    <w:rsid w:val="00C543C6"/>
    <w:rsid w:val="00C95BB4"/>
    <w:rsid w:val="00C97958"/>
    <w:rsid w:val="00CB0D8F"/>
    <w:rsid w:val="00CF1E08"/>
    <w:rsid w:val="00D437F7"/>
    <w:rsid w:val="00D453D9"/>
    <w:rsid w:val="00D5436E"/>
    <w:rsid w:val="00D83AD0"/>
    <w:rsid w:val="00D9225B"/>
    <w:rsid w:val="00D932FB"/>
    <w:rsid w:val="00D93F8E"/>
    <w:rsid w:val="00D9641C"/>
    <w:rsid w:val="00DC0273"/>
    <w:rsid w:val="00DC0F9B"/>
    <w:rsid w:val="00DE088C"/>
    <w:rsid w:val="00DE2113"/>
    <w:rsid w:val="00E11576"/>
    <w:rsid w:val="00E1623D"/>
    <w:rsid w:val="00E90AEE"/>
    <w:rsid w:val="00E917DB"/>
    <w:rsid w:val="00E925EB"/>
    <w:rsid w:val="00EA13B1"/>
    <w:rsid w:val="00EA5C6A"/>
    <w:rsid w:val="00EC63D6"/>
    <w:rsid w:val="00F02FB6"/>
    <w:rsid w:val="012F74D1"/>
    <w:rsid w:val="016B2242"/>
    <w:rsid w:val="018207C5"/>
    <w:rsid w:val="01C26E13"/>
    <w:rsid w:val="021C5C4F"/>
    <w:rsid w:val="02564C66"/>
    <w:rsid w:val="02693733"/>
    <w:rsid w:val="039D0FAD"/>
    <w:rsid w:val="03A00131"/>
    <w:rsid w:val="03E9033D"/>
    <w:rsid w:val="042F52D2"/>
    <w:rsid w:val="0467251E"/>
    <w:rsid w:val="04A94CF4"/>
    <w:rsid w:val="05FB3DF0"/>
    <w:rsid w:val="06A32EE7"/>
    <w:rsid w:val="070659F4"/>
    <w:rsid w:val="070F00C9"/>
    <w:rsid w:val="071C1917"/>
    <w:rsid w:val="07540FAE"/>
    <w:rsid w:val="09105589"/>
    <w:rsid w:val="09EE517C"/>
    <w:rsid w:val="0A2F748B"/>
    <w:rsid w:val="0A6771E2"/>
    <w:rsid w:val="0BD7590C"/>
    <w:rsid w:val="0BE34389"/>
    <w:rsid w:val="0BFE3F26"/>
    <w:rsid w:val="0C3152C1"/>
    <w:rsid w:val="0CB6397F"/>
    <w:rsid w:val="0CF55810"/>
    <w:rsid w:val="0E024A7E"/>
    <w:rsid w:val="0E710E3C"/>
    <w:rsid w:val="0F165423"/>
    <w:rsid w:val="0F246ABC"/>
    <w:rsid w:val="0F397749"/>
    <w:rsid w:val="10820979"/>
    <w:rsid w:val="10C20D45"/>
    <w:rsid w:val="10D37A4F"/>
    <w:rsid w:val="11095508"/>
    <w:rsid w:val="1271266D"/>
    <w:rsid w:val="132E71A8"/>
    <w:rsid w:val="14312BB2"/>
    <w:rsid w:val="14BC1DE8"/>
    <w:rsid w:val="15DC5504"/>
    <w:rsid w:val="1636286F"/>
    <w:rsid w:val="165F5DF7"/>
    <w:rsid w:val="174049C5"/>
    <w:rsid w:val="1746570F"/>
    <w:rsid w:val="17471E9C"/>
    <w:rsid w:val="179F413A"/>
    <w:rsid w:val="18434E4A"/>
    <w:rsid w:val="19F709D1"/>
    <w:rsid w:val="1A4E7ACA"/>
    <w:rsid w:val="1A7E4DD5"/>
    <w:rsid w:val="1AC3504C"/>
    <w:rsid w:val="1B9238A2"/>
    <w:rsid w:val="1BBB28F3"/>
    <w:rsid w:val="1C3E3CF2"/>
    <w:rsid w:val="1C7E2D82"/>
    <w:rsid w:val="1EDC6D88"/>
    <w:rsid w:val="1F0E1492"/>
    <w:rsid w:val="1F1E50E5"/>
    <w:rsid w:val="1F5F49EE"/>
    <w:rsid w:val="1F9A7AC6"/>
    <w:rsid w:val="2095456A"/>
    <w:rsid w:val="211F1734"/>
    <w:rsid w:val="215F1D88"/>
    <w:rsid w:val="21B37840"/>
    <w:rsid w:val="22062743"/>
    <w:rsid w:val="22084228"/>
    <w:rsid w:val="22224358"/>
    <w:rsid w:val="224F33AF"/>
    <w:rsid w:val="22F76485"/>
    <w:rsid w:val="236B6EB3"/>
    <w:rsid w:val="23B66394"/>
    <w:rsid w:val="24157B86"/>
    <w:rsid w:val="24360D54"/>
    <w:rsid w:val="246A53BC"/>
    <w:rsid w:val="249E6260"/>
    <w:rsid w:val="24E94533"/>
    <w:rsid w:val="25510849"/>
    <w:rsid w:val="25943776"/>
    <w:rsid w:val="2599563A"/>
    <w:rsid w:val="25D519AC"/>
    <w:rsid w:val="25EA1731"/>
    <w:rsid w:val="260228EA"/>
    <w:rsid w:val="26736E61"/>
    <w:rsid w:val="267B1E8B"/>
    <w:rsid w:val="272D3678"/>
    <w:rsid w:val="274D07C7"/>
    <w:rsid w:val="27745C29"/>
    <w:rsid w:val="282F0B7C"/>
    <w:rsid w:val="28A45A09"/>
    <w:rsid w:val="28B72F02"/>
    <w:rsid w:val="28D55ABB"/>
    <w:rsid w:val="29735EDB"/>
    <w:rsid w:val="297B5976"/>
    <w:rsid w:val="298B1313"/>
    <w:rsid w:val="2A060A71"/>
    <w:rsid w:val="2ADD0C68"/>
    <w:rsid w:val="2ADF14D0"/>
    <w:rsid w:val="2B2F6F28"/>
    <w:rsid w:val="2B3E487B"/>
    <w:rsid w:val="2B7C6DE7"/>
    <w:rsid w:val="2C135140"/>
    <w:rsid w:val="2C366E23"/>
    <w:rsid w:val="2C7F0052"/>
    <w:rsid w:val="2D253597"/>
    <w:rsid w:val="2D510BA3"/>
    <w:rsid w:val="2D915768"/>
    <w:rsid w:val="2DBC05FA"/>
    <w:rsid w:val="2E4C05B2"/>
    <w:rsid w:val="2F431C35"/>
    <w:rsid w:val="30766F91"/>
    <w:rsid w:val="30D134B2"/>
    <w:rsid w:val="30FA7E3B"/>
    <w:rsid w:val="310078E5"/>
    <w:rsid w:val="313A5189"/>
    <w:rsid w:val="31614661"/>
    <w:rsid w:val="3170236D"/>
    <w:rsid w:val="32D61E6F"/>
    <w:rsid w:val="3310712F"/>
    <w:rsid w:val="33784CD4"/>
    <w:rsid w:val="33CF6A2A"/>
    <w:rsid w:val="33E570B3"/>
    <w:rsid w:val="34B50B32"/>
    <w:rsid w:val="34C77D20"/>
    <w:rsid w:val="3546508A"/>
    <w:rsid w:val="3569433F"/>
    <w:rsid w:val="356A3BC2"/>
    <w:rsid w:val="358D4A67"/>
    <w:rsid w:val="36203B2D"/>
    <w:rsid w:val="36567CE3"/>
    <w:rsid w:val="36BF0B11"/>
    <w:rsid w:val="36CB6FD0"/>
    <w:rsid w:val="37097D3E"/>
    <w:rsid w:val="373B7F0A"/>
    <w:rsid w:val="37CA1614"/>
    <w:rsid w:val="37EC60F7"/>
    <w:rsid w:val="38470C81"/>
    <w:rsid w:val="38BF34BF"/>
    <w:rsid w:val="3A7613BA"/>
    <w:rsid w:val="3ABE287D"/>
    <w:rsid w:val="3AC32701"/>
    <w:rsid w:val="3B8F19FC"/>
    <w:rsid w:val="3B9D6010"/>
    <w:rsid w:val="3C846084"/>
    <w:rsid w:val="3CC82185"/>
    <w:rsid w:val="3D433ED0"/>
    <w:rsid w:val="3D6D763F"/>
    <w:rsid w:val="3DA74B34"/>
    <w:rsid w:val="3E1D645A"/>
    <w:rsid w:val="3E29195A"/>
    <w:rsid w:val="3E547574"/>
    <w:rsid w:val="3ECC44E5"/>
    <w:rsid w:val="3F183DAC"/>
    <w:rsid w:val="3F7B7440"/>
    <w:rsid w:val="3F917B18"/>
    <w:rsid w:val="40A06305"/>
    <w:rsid w:val="40CE49F7"/>
    <w:rsid w:val="41AA5000"/>
    <w:rsid w:val="4221732B"/>
    <w:rsid w:val="426505FF"/>
    <w:rsid w:val="426E036F"/>
    <w:rsid w:val="42E023A6"/>
    <w:rsid w:val="43844312"/>
    <w:rsid w:val="44636CBD"/>
    <w:rsid w:val="4486394E"/>
    <w:rsid w:val="44913E48"/>
    <w:rsid w:val="45051653"/>
    <w:rsid w:val="455F62DD"/>
    <w:rsid w:val="45CC511F"/>
    <w:rsid w:val="46165D53"/>
    <w:rsid w:val="46C40ED8"/>
    <w:rsid w:val="46F179A3"/>
    <w:rsid w:val="47C66043"/>
    <w:rsid w:val="49170232"/>
    <w:rsid w:val="498F4B0B"/>
    <w:rsid w:val="4A1D0689"/>
    <w:rsid w:val="4A3D1775"/>
    <w:rsid w:val="4A8A37F5"/>
    <w:rsid w:val="4ADB35DB"/>
    <w:rsid w:val="4BBA1DC7"/>
    <w:rsid w:val="4C3D76E4"/>
    <w:rsid w:val="4C676EEB"/>
    <w:rsid w:val="4C9C7B98"/>
    <w:rsid w:val="4CA32EC0"/>
    <w:rsid w:val="4CAC4CF5"/>
    <w:rsid w:val="4D4927AE"/>
    <w:rsid w:val="4D741F8F"/>
    <w:rsid w:val="4D793894"/>
    <w:rsid w:val="4D9E40BD"/>
    <w:rsid w:val="4DFA013F"/>
    <w:rsid w:val="4E6F09E4"/>
    <w:rsid w:val="4E7626B5"/>
    <w:rsid w:val="4E8B3F79"/>
    <w:rsid w:val="4EAC0B3C"/>
    <w:rsid w:val="4EFC29BA"/>
    <w:rsid w:val="4F9B6D8C"/>
    <w:rsid w:val="4FE242D6"/>
    <w:rsid w:val="5061473E"/>
    <w:rsid w:val="509176A9"/>
    <w:rsid w:val="509A4649"/>
    <w:rsid w:val="50A239F8"/>
    <w:rsid w:val="50E80305"/>
    <w:rsid w:val="51E90E1F"/>
    <w:rsid w:val="52227C3C"/>
    <w:rsid w:val="52714FF5"/>
    <w:rsid w:val="52A430D7"/>
    <w:rsid w:val="53462A4A"/>
    <w:rsid w:val="53F55F8E"/>
    <w:rsid w:val="54893201"/>
    <w:rsid w:val="55205130"/>
    <w:rsid w:val="55DF0EB7"/>
    <w:rsid w:val="560F02DE"/>
    <w:rsid w:val="56156687"/>
    <w:rsid w:val="568A7ED0"/>
    <w:rsid w:val="56B57EA4"/>
    <w:rsid w:val="575D2662"/>
    <w:rsid w:val="57662C97"/>
    <w:rsid w:val="57CA5C14"/>
    <w:rsid w:val="57D50BBE"/>
    <w:rsid w:val="582809C8"/>
    <w:rsid w:val="582D7DF5"/>
    <w:rsid w:val="58304FD2"/>
    <w:rsid w:val="58313520"/>
    <w:rsid w:val="589F17BB"/>
    <w:rsid w:val="5B5D468B"/>
    <w:rsid w:val="5B873FED"/>
    <w:rsid w:val="5BAC2894"/>
    <w:rsid w:val="5BED6934"/>
    <w:rsid w:val="5C411308"/>
    <w:rsid w:val="5C642108"/>
    <w:rsid w:val="5C6F1F63"/>
    <w:rsid w:val="5C78796F"/>
    <w:rsid w:val="5C7C199B"/>
    <w:rsid w:val="5CD40835"/>
    <w:rsid w:val="5CDF77D2"/>
    <w:rsid w:val="5D121324"/>
    <w:rsid w:val="5D502290"/>
    <w:rsid w:val="5D572C5B"/>
    <w:rsid w:val="5E796ACE"/>
    <w:rsid w:val="5E880792"/>
    <w:rsid w:val="5ECD27AF"/>
    <w:rsid w:val="5F3202A9"/>
    <w:rsid w:val="5F3B4158"/>
    <w:rsid w:val="5F420E78"/>
    <w:rsid w:val="5F573352"/>
    <w:rsid w:val="5FA43560"/>
    <w:rsid w:val="61705973"/>
    <w:rsid w:val="61866D8F"/>
    <w:rsid w:val="61D55C7E"/>
    <w:rsid w:val="62481266"/>
    <w:rsid w:val="6255477A"/>
    <w:rsid w:val="625C73EB"/>
    <w:rsid w:val="62743F53"/>
    <w:rsid w:val="629F66E6"/>
    <w:rsid w:val="630521DF"/>
    <w:rsid w:val="63237866"/>
    <w:rsid w:val="63E25938"/>
    <w:rsid w:val="64682E02"/>
    <w:rsid w:val="64CA0F84"/>
    <w:rsid w:val="655F16CC"/>
    <w:rsid w:val="6616619C"/>
    <w:rsid w:val="667A05B7"/>
    <w:rsid w:val="67194AA4"/>
    <w:rsid w:val="67B76B08"/>
    <w:rsid w:val="67FB21DB"/>
    <w:rsid w:val="689A69D3"/>
    <w:rsid w:val="68BF73FB"/>
    <w:rsid w:val="690E5459"/>
    <w:rsid w:val="6948389B"/>
    <w:rsid w:val="697751C0"/>
    <w:rsid w:val="69C123EE"/>
    <w:rsid w:val="69DD09B1"/>
    <w:rsid w:val="6B722607"/>
    <w:rsid w:val="6B834386"/>
    <w:rsid w:val="6C592714"/>
    <w:rsid w:val="6D4B3D50"/>
    <w:rsid w:val="6D5B5E8B"/>
    <w:rsid w:val="6D8C026B"/>
    <w:rsid w:val="6DE72E46"/>
    <w:rsid w:val="6DFB19BE"/>
    <w:rsid w:val="6E136BCC"/>
    <w:rsid w:val="6E233DDC"/>
    <w:rsid w:val="6E29604D"/>
    <w:rsid w:val="6F664138"/>
    <w:rsid w:val="6F8F0E00"/>
    <w:rsid w:val="6FED33F2"/>
    <w:rsid w:val="700957EA"/>
    <w:rsid w:val="71C51C5D"/>
    <w:rsid w:val="71CC34E0"/>
    <w:rsid w:val="72074438"/>
    <w:rsid w:val="7234198A"/>
    <w:rsid w:val="730856FA"/>
    <w:rsid w:val="7311668B"/>
    <w:rsid w:val="73431A07"/>
    <w:rsid w:val="73661E78"/>
    <w:rsid w:val="739D4032"/>
    <w:rsid w:val="74362184"/>
    <w:rsid w:val="74CF53C9"/>
    <w:rsid w:val="74F925AC"/>
    <w:rsid w:val="75AB0DF2"/>
    <w:rsid w:val="75B95788"/>
    <w:rsid w:val="75D75423"/>
    <w:rsid w:val="76424E1E"/>
    <w:rsid w:val="77AA0655"/>
    <w:rsid w:val="77CA7581"/>
    <w:rsid w:val="77FD54B6"/>
    <w:rsid w:val="787A1447"/>
    <w:rsid w:val="79495745"/>
    <w:rsid w:val="796877BD"/>
    <w:rsid w:val="79795D16"/>
    <w:rsid w:val="79A61F28"/>
    <w:rsid w:val="79D60229"/>
    <w:rsid w:val="79EB5D44"/>
    <w:rsid w:val="7ADF24E6"/>
    <w:rsid w:val="7B5C721F"/>
    <w:rsid w:val="7B7A695A"/>
    <w:rsid w:val="7B963ABC"/>
    <w:rsid w:val="7C373028"/>
    <w:rsid w:val="7C596A1E"/>
    <w:rsid w:val="7C8B48E5"/>
    <w:rsid w:val="7CCE599F"/>
    <w:rsid w:val="7CE26F26"/>
    <w:rsid w:val="7DB721EE"/>
    <w:rsid w:val="7E1A3439"/>
    <w:rsid w:val="7E542DDB"/>
    <w:rsid w:val="7EB466B1"/>
    <w:rsid w:val="7F422D80"/>
    <w:rsid w:val="7FA41FF6"/>
    <w:rsid w:val="7FEE3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pPr>
      <w:spacing w:line="240" w:lineRule="auto"/>
    </w:pPr>
    <w:rPr>
      <w:sz w:val="18"/>
      <w:szCs w:val="18"/>
    </w:rPr>
  </w:style>
  <w:style w:type="paragraph" w:styleId="3">
    <w:name w:val="footer"/>
    <w:basedOn w:val="1"/>
    <w:link w:val="12"/>
    <w:qFormat/>
    <w:uiPriority w:val="0"/>
    <w:pPr>
      <w:tabs>
        <w:tab w:val="center" w:pos="4153"/>
        <w:tab w:val="right" w:pos="8306"/>
      </w:tabs>
      <w:snapToGrid w:val="0"/>
      <w:spacing w:line="240" w:lineRule="atLeast"/>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5">
    <w:name w:val="toc 1"/>
    <w:basedOn w:val="1"/>
    <w:next w:val="1"/>
    <w:qFormat/>
    <w:uiPriority w:val="0"/>
  </w:style>
  <w:style w:type="paragraph" w:styleId="6">
    <w:name w:val="Normal (Web)"/>
    <w:basedOn w:val="1"/>
    <w:qFormat/>
    <w:uiPriority w:val="0"/>
    <w:pPr>
      <w:spacing w:beforeAutospacing="1" w:afterAutospacing="1"/>
      <w:jc w:val="left"/>
    </w:pPr>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页眉 字符"/>
    <w:basedOn w:val="9"/>
    <w:link w:val="4"/>
    <w:qFormat/>
    <w:uiPriority w:val="0"/>
    <w:rPr>
      <w:sz w:val="18"/>
      <w:szCs w:val="18"/>
    </w:rPr>
  </w:style>
  <w:style w:type="character" w:customStyle="1" w:styleId="12">
    <w:name w:val="页脚 字符"/>
    <w:basedOn w:val="9"/>
    <w:link w:val="3"/>
    <w:qFormat/>
    <w:uiPriority w:val="0"/>
    <w:rPr>
      <w:sz w:val="18"/>
      <w:szCs w:val="18"/>
    </w:rPr>
  </w:style>
  <w:style w:type="character" w:customStyle="1" w:styleId="13">
    <w:name w:val="批注框文本 字符"/>
    <w:basedOn w:val="9"/>
    <w:link w:val="2"/>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3441</Words>
  <Characters>3536</Characters>
  <Lines>49</Lines>
  <Paragraphs>14</Paragraphs>
  <TotalTime>17</TotalTime>
  <ScaleCrop>false</ScaleCrop>
  <LinksUpToDate>false</LinksUpToDate>
  <CharactersWithSpaces>3576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2025-04-24T05:42:00Z</dcterms:created>
  <dc:creator>Administrator</dc:creator>
  <cp:lastModifiedBy>清风秀影</cp:lastModifiedBy>
  <cp:lastPrinted>2025-04-29T01:30:00Z</cp:lastPrinted>
  <dcterms:modified xsi:type="dcterms:W3CDTF">2025-06-03T06:46:45Z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4584DCD3A86644F486FC0182535F120D_12</vt:lpwstr>
  </property>
  <property fmtid="{D5CDD505-2E9C-101B-9397-08002B2CF9AE}" pid="4" name="KSOTemplateDocerSaveRecord">
    <vt:lpwstr>eyJoZGlkIjoiNGEzMDMzNDRlN2U3OTA1NjY2MDI2MzI1MmZmOTU5NTUiLCJ1c2VySWQiOiI0ODQ1NDAyMDcifQ==</vt:lpwstr>
  </property>
</Properties>
</file>